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88D9B" w14:textId="621195F1" w:rsidR="008063DC" w:rsidRPr="00F577EC" w:rsidRDefault="008063DC" w:rsidP="005E638F">
      <w:pPr>
        <w:spacing w:line="360" w:lineRule="auto"/>
        <w:rPr>
          <w:rFonts w:ascii="Verdana" w:hAnsi="Verdana"/>
          <w:sz w:val="22"/>
          <w:szCs w:val="22"/>
          <w:lang w:val="en-US"/>
        </w:rPr>
      </w:pPr>
      <w:r w:rsidRPr="00F577EC">
        <w:rPr>
          <w:rFonts w:ascii="Verdana" w:hAnsi="Verdana"/>
          <w:sz w:val="22"/>
          <w:szCs w:val="22"/>
          <w:lang w:val="en-US"/>
        </w:rPr>
        <w:t>Prof. Dr. Natascha Adamowsky</w:t>
      </w:r>
    </w:p>
    <w:p w14:paraId="5FEA7F65" w14:textId="0CEB4061" w:rsidR="008063DC" w:rsidRPr="00F577EC" w:rsidRDefault="008063DC" w:rsidP="005E638F">
      <w:pPr>
        <w:spacing w:line="360" w:lineRule="auto"/>
        <w:rPr>
          <w:rFonts w:ascii="Verdana" w:hAnsi="Verdana"/>
          <w:sz w:val="22"/>
          <w:szCs w:val="22"/>
          <w:lang w:val="en-US"/>
        </w:rPr>
      </w:pPr>
      <w:r w:rsidRPr="00F577EC">
        <w:rPr>
          <w:rFonts w:ascii="Verdana" w:hAnsi="Verdana"/>
          <w:sz w:val="22"/>
          <w:szCs w:val="22"/>
          <w:lang w:val="en-US"/>
        </w:rPr>
        <w:t>Natascha-Adamowsky.de</w:t>
      </w:r>
    </w:p>
    <w:p w14:paraId="422D8081" w14:textId="77777777" w:rsidR="008063DC" w:rsidRPr="00F577EC" w:rsidRDefault="008063DC" w:rsidP="005E638F">
      <w:pPr>
        <w:spacing w:line="360" w:lineRule="auto"/>
        <w:rPr>
          <w:rFonts w:ascii="Verdana" w:hAnsi="Verdana"/>
          <w:sz w:val="22"/>
          <w:szCs w:val="22"/>
          <w:lang w:val="en-US"/>
        </w:rPr>
      </w:pPr>
    </w:p>
    <w:p w14:paraId="46FAA2B0" w14:textId="77777777" w:rsidR="008063DC" w:rsidRPr="00F577EC" w:rsidRDefault="008063DC" w:rsidP="005E638F">
      <w:pPr>
        <w:spacing w:line="360" w:lineRule="auto"/>
        <w:rPr>
          <w:rFonts w:ascii="Verdana" w:hAnsi="Verdana"/>
          <w:sz w:val="22"/>
          <w:szCs w:val="22"/>
          <w:lang w:val="en-US"/>
        </w:rPr>
      </w:pPr>
    </w:p>
    <w:p w14:paraId="7FC355F0" w14:textId="77777777" w:rsidR="00D20498" w:rsidRPr="00F577EC" w:rsidRDefault="00A74BA0" w:rsidP="00D20498">
      <w:pPr>
        <w:spacing w:line="360" w:lineRule="auto"/>
        <w:jc w:val="center"/>
        <w:rPr>
          <w:rFonts w:ascii="Verdana" w:hAnsi="Verdana"/>
          <w:sz w:val="22"/>
          <w:szCs w:val="22"/>
          <w:lang w:val="en-US"/>
        </w:rPr>
      </w:pPr>
      <w:r w:rsidRPr="00F577EC">
        <w:rPr>
          <w:rFonts w:ascii="Verdana" w:hAnsi="Verdana"/>
          <w:sz w:val="22"/>
          <w:szCs w:val="22"/>
          <w:lang w:val="en-US"/>
        </w:rPr>
        <w:t xml:space="preserve">Productive Indeterminacy – </w:t>
      </w:r>
    </w:p>
    <w:p w14:paraId="0D10131E" w14:textId="1C443574" w:rsidR="0099125F" w:rsidRPr="00F577EC" w:rsidRDefault="00A74BA0" w:rsidP="00D20498">
      <w:pPr>
        <w:spacing w:line="360" w:lineRule="auto"/>
        <w:jc w:val="center"/>
        <w:rPr>
          <w:rFonts w:ascii="Verdana" w:hAnsi="Verdana"/>
          <w:sz w:val="22"/>
          <w:szCs w:val="22"/>
          <w:lang w:val="en-US"/>
        </w:rPr>
      </w:pPr>
      <w:r w:rsidRPr="00F577EC">
        <w:rPr>
          <w:rFonts w:ascii="Verdana" w:hAnsi="Verdana"/>
          <w:sz w:val="22"/>
          <w:szCs w:val="22"/>
          <w:lang w:val="en-US"/>
        </w:rPr>
        <w:t>on the Relationship</w:t>
      </w:r>
      <w:r w:rsidR="003B1CAD" w:rsidRPr="00F577EC">
        <w:rPr>
          <w:rFonts w:ascii="Verdana" w:hAnsi="Verdana"/>
          <w:sz w:val="22"/>
          <w:szCs w:val="22"/>
          <w:lang w:val="en-US"/>
        </w:rPr>
        <w:t xml:space="preserve"> be</w:t>
      </w:r>
      <w:r w:rsidR="00A932A7" w:rsidRPr="00F577EC">
        <w:rPr>
          <w:rFonts w:ascii="Verdana" w:hAnsi="Verdana"/>
          <w:sz w:val="22"/>
          <w:szCs w:val="22"/>
          <w:lang w:val="en-US"/>
        </w:rPr>
        <w:t>t</w:t>
      </w:r>
      <w:r w:rsidR="003B1CAD" w:rsidRPr="00F577EC">
        <w:rPr>
          <w:rFonts w:ascii="Verdana" w:hAnsi="Verdana"/>
          <w:sz w:val="22"/>
          <w:szCs w:val="22"/>
          <w:lang w:val="en-US"/>
        </w:rPr>
        <w:t xml:space="preserve">ween </w:t>
      </w:r>
      <w:r w:rsidR="00F70874" w:rsidRPr="00F577EC">
        <w:rPr>
          <w:rFonts w:ascii="Verdana" w:hAnsi="Verdana"/>
          <w:sz w:val="22"/>
          <w:szCs w:val="22"/>
          <w:lang w:val="en-US"/>
        </w:rPr>
        <w:t>P</w:t>
      </w:r>
      <w:r w:rsidR="003B1CAD" w:rsidRPr="00F577EC">
        <w:rPr>
          <w:rFonts w:ascii="Verdana" w:hAnsi="Verdana"/>
          <w:sz w:val="22"/>
          <w:szCs w:val="22"/>
          <w:lang w:val="en-US"/>
        </w:rPr>
        <w:t xml:space="preserve">lay and </w:t>
      </w:r>
      <w:r w:rsidR="00F70874" w:rsidRPr="00F577EC">
        <w:rPr>
          <w:rFonts w:ascii="Verdana" w:hAnsi="Verdana"/>
          <w:sz w:val="22"/>
          <w:szCs w:val="22"/>
          <w:lang w:val="en-US"/>
        </w:rPr>
        <w:t>the R</w:t>
      </w:r>
      <w:r w:rsidR="003B1CAD" w:rsidRPr="00F577EC">
        <w:rPr>
          <w:rFonts w:ascii="Verdana" w:hAnsi="Verdana"/>
          <w:sz w:val="22"/>
          <w:szCs w:val="22"/>
          <w:lang w:val="en-US"/>
        </w:rPr>
        <w:t>eason</w:t>
      </w:r>
      <w:r w:rsidR="00A435B7" w:rsidRPr="00F577EC">
        <w:rPr>
          <w:rFonts w:ascii="Verdana" w:hAnsi="Verdana"/>
          <w:sz w:val="22"/>
          <w:szCs w:val="22"/>
          <w:lang w:val="en-US"/>
        </w:rPr>
        <w:t xml:space="preserve">able </w:t>
      </w:r>
      <w:r w:rsidR="00F70874" w:rsidRPr="00F577EC">
        <w:rPr>
          <w:rFonts w:ascii="Verdana" w:hAnsi="Verdana"/>
          <w:sz w:val="22"/>
          <w:szCs w:val="22"/>
          <w:lang w:val="en-US"/>
        </w:rPr>
        <w:t>R</w:t>
      </w:r>
      <w:r w:rsidR="00A435B7" w:rsidRPr="00F577EC">
        <w:rPr>
          <w:rFonts w:ascii="Verdana" w:hAnsi="Verdana"/>
          <w:sz w:val="22"/>
          <w:szCs w:val="22"/>
          <w:lang w:val="en-US"/>
        </w:rPr>
        <w:t>eal</w:t>
      </w:r>
    </w:p>
    <w:p w14:paraId="0B25D228" w14:textId="77777777" w:rsidR="008063DC" w:rsidRPr="00F577EC" w:rsidRDefault="008063DC" w:rsidP="008063DC">
      <w:pPr>
        <w:pStyle w:val="Default"/>
        <w:rPr>
          <w:rFonts w:ascii="Verdana" w:hAnsi="Verdana"/>
          <w:sz w:val="22"/>
          <w:szCs w:val="22"/>
          <w:lang w:val="en-US"/>
        </w:rPr>
      </w:pPr>
    </w:p>
    <w:p w14:paraId="4289C6D1" w14:textId="27837E73" w:rsidR="00CD0173" w:rsidRPr="00F577EC" w:rsidRDefault="008063DC" w:rsidP="008063DC">
      <w:pPr>
        <w:spacing w:line="360" w:lineRule="auto"/>
        <w:rPr>
          <w:rFonts w:ascii="Verdana" w:hAnsi="Verdana"/>
          <w:sz w:val="22"/>
          <w:szCs w:val="22"/>
          <w:lang w:val="en-US"/>
        </w:rPr>
      </w:pPr>
      <w:r w:rsidRPr="00F577EC">
        <w:rPr>
          <w:rFonts w:ascii="Verdana" w:hAnsi="Verdana"/>
          <w:sz w:val="22"/>
          <w:szCs w:val="22"/>
          <w:lang w:val="en-US"/>
        </w:rPr>
        <w:t xml:space="preserve"> Over the course of the last two hundred years theories and discourses on play have differentiated in many ways. They are confronted with a multifaceted field of play phenomena and activities as well as with a history of manifold play objects, materials and playgrounds. Both sides – theories and historical phenomena – have not yet found a convincing correspondence, especially since in research, efforts predominate to view regulated and contingent activities as games, or to interpret a play or a game as a symbol, metaphor, etc. of something else. In most cases, this 'something else' refers to what is called 'the real thing' in everyday life. But if playing is not the real thing, we cannot experience anything real, fundamental or true in it. It never gets beyond the stage of preparation, simulation or distraction. The following contribution takes a completely different approach and sees play as a factor constitutive of culture.</w:t>
      </w:r>
    </w:p>
    <w:p w14:paraId="0623E8B7" w14:textId="77777777" w:rsidR="00F577EC" w:rsidRPr="00F577EC" w:rsidRDefault="00F577EC" w:rsidP="008063DC">
      <w:pPr>
        <w:spacing w:line="360" w:lineRule="auto"/>
        <w:rPr>
          <w:rFonts w:ascii="Verdana" w:hAnsi="Verdana"/>
          <w:sz w:val="22"/>
          <w:szCs w:val="22"/>
          <w:lang w:val="en-US"/>
        </w:rPr>
      </w:pPr>
    </w:p>
    <w:p w14:paraId="5A846BEA" w14:textId="49D15B6C" w:rsidR="00F577EC" w:rsidRPr="00F577EC" w:rsidRDefault="00F577EC" w:rsidP="008063DC">
      <w:pPr>
        <w:spacing w:line="360" w:lineRule="auto"/>
        <w:rPr>
          <w:rFonts w:ascii="Verdana" w:hAnsi="Verdana"/>
          <w:sz w:val="22"/>
          <w:szCs w:val="22"/>
          <w:lang w:val="en-US"/>
        </w:rPr>
      </w:pPr>
      <w:r w:rsidRPr="00F577EC">
        <w:rPr>
          <w:rFonts w:ascii="Verdana" w:hAnsi="Verdana"/>
          <w:sz w:val="22"/>
          <w:szCs w:val="22"/>
          <w:lang w:val="en-US"/>
        </w:rPr>
        <w:t>Vita</w:t>
      </w:r>
    </w:p>
    <w:p w14:paraId="7C98CE85" w14:textId="473948EE" w:rsidR="00F577EC" w:rsidRPr="00F577EC" w:rsidRDefault="00F577EC" w:rsidP="00F577EC">
      <w:pPr>
        <w:spacing w:line="340" w:lineRule="exact"/>
        <w:rPr>
          <w:rFonts w:ascii="Verdana" w:hAnsi="Verdana"/>
          <w:sz w:val="22"/>
          <w:szCs w:val="22"/>
          <w:lang w:val="en-US"/>
        </w:rPr>
      </w:pPr>
      <w:r w:rsidRPr="00F577EC">
        <w:rPr>
          <w:rFonts w:ascii="Verdana" w:hAnsi="Verdana"/>
          <w:sz w:val="22"/>
          <w:szCs w:val="22"/>
        </w:rPr>
        <w:t xml:space="preserve">Natascha Adamowsky ist </w:t>
      </w:r>
      <w:r w:rsidRPr="00F577EC">
        <w:rPr>
          <w:rFonts w:ascii="Verdana" w:hAnsi="Verdana"/>
          <w:sz w:val="22"/>
          <w:szCs w:val="22"/>
        </w:rPr>
        <w:t>Medien- und Kulturwissenschaftlerin und ha</w:t>
      </w:r>
      <w:r w:rsidRPr="00F577EC">
        <w:rPr>
          <w:rFonts w:ascii="Verdana" w:hAnsi="Verdana"/>
          <w:sz w:val="22"/>
          <w:szCs w:val="22"/>
        </w:rPr>
        <w:t>t</w:t>
      </w:r>
      <w:r w:rsidRPr="00F577EC">
        <w:rPr>
          <w:rFonts w:ascii="Verdana" w:hAnsi="Verdana"/>
          <w:sz w:val="22"/>
          <w:szCs w:val="22"/>
        </w:rPr>
        <w:t xml:space="preserve"> seit 2020 den Lehrstuhl für Medienkulturwissenschaft mit dem Schwerpunkt Digitale Kulturen an der Universität Passau inne. Zuvor war </w:t>
      </w:r>
      <w:r w:rsidRPr="00F577EC">
        <w:rPr>
          <w:rFonts w:ascii="Verdana" w:hAnsi="Verdana"/>
          <w:sz w:val="22"/>
          <w:szCs w:val="22"/>
        </w:rPr>
        <w:t>sie</w:t>
      </w:r>
      <w:r w:rsidRPr="00F577EC">
        <w:rPr>
          <w:rFonts w:ascii="Verdana" w:hAnsi="Verdana"/>
          <w:sz w:val="22"/>
          <w:szCs w:val="22"/>
        </w:rPr>
        <w:t xml:space="preserve"> Professorin für Medienwissenschaft im Bereich der Digitalen Medientechnologien an der Universität Siegen, Professorin und Leiterin des Instituts für Medienkulturwissenschaft an der Albert-Ludwigs-Universität Freiburg sowie Professorin für Kulturwissenschaftliche Ästhetik </w:t>
      </w:r>
      <w:r>
        <w:rPr>
          <w:rFonts w:ascii="Verdana" w:hAnsi="Verdana"/>
          <w:sz w:val="22"/>
          <w:szCs w:val="22"/>
        </w:rPr>
        <w:t>an</w:t>
      </w:r>
      <w:r w:rsidRPr="00F577EC">
        <w:rPr>
          <w:rFonts w:ascii="Verdana" w:hAnsi="Verdana"/>
          <w:sz w:val="22"/>
          <w:szCs w:val="22"/>
        </w:rPr>
        <w:t xml:space="preserve"> der Humboldt Universität zu Berlin.</w:t>
      </w:r>
      <w:r w:rsidRPr="00F577EC">
        <w:rPr>
          <w:rFonts w:ascii="Verdana" w:hAnsi="Verdana"/>
          <w:sz w:val="22"/>
          <w:szCs w:val="22"/>
        </w:rPr>
        <w:t xml:space="preserve"> </w:t>
      </w:r>
      <w:r w:rsidRPr="00F577EC">
        <w:rPr>
          <w:rFonts w:ascii="Verdana" w:hAnsi="Verdana"/>
          <w:sz w:val="22"/>
          <w:szCs w:val="22"/>
        </w:rPr>
        <w:t xml:space="preserve">Ihre Arbeitsschwerpunkte liegen in den Bereichen kulturwissenschaftlicher </w:t>
      </w:r>
      <w:proofErr w:type="spellStart"/>
      <w:r w:rsidRPr="00F577EC">
        <w:rPr>
          <w:rFonts w:ascii="Verdana" w:hAnsi="Verdana"/>
          <w:sz w:val="22"/>
          <w:szCs w:val="22"/>
        </w:rPr>
        <w:t>Digitalitätsforschung</w:t>
      </w:r>
      <w:proofErr w:type="spellEnd"/>
      <w:r w:rsidRPr="00F577EC">
        <w:rPr>
          <w:rFonts w:ascii="Verdana" w:hAnsi="Verdana"/>
          <w:sz w:val="22"/>
          <w:szCs w:val="22"/>
        </w:rPr>
        <w:t xml:space="preserve">, Spielkulturforschung, Medienästhetik und Wissenskultur, sowie Medientechnik und -geschichte. Literatur: </w:t>
      </w:r>
      <w:r w:rsidRPr="00F577EC">
        <w:rPr>
          <w:rFonts w:ascii="Verdana" w:hAnsi="Verdana"/>
          <w:i/>
          <w:iCs/>
          <w:sz w:val="22"/>
          <w:szCs w:val="22"/>
        </w:rPr>
        <w:t>„Technik und Lebendigkeit – Automaten, Androiden, Avatare“</w:t>
      </w:r>
      <w:r w:rsidRPr="00F577EC">
        <w:rPr>
          <w:rFonts w:ascii="Verdana" w:hAnsi="Verdana"/>
          <w:sz w:val="22"/>
          <w:szCs w:val="22"/>
        </w:rPr>
        <w:t xml:space="preserve"> Wien 2020</w:t>
      </w:r>
      <w:r w:rsidRPr="00F577EC">
        <w:rPr>
          <w:rFonts w:ascii="Verdana" w:hAnsi="Verdana"/>
          <w:sz w:val="22"/>
          <w:szCs w:val="22"/>
        </w:rPr>
        <w:t xml:space="preserve">; </w:t>
      </w:r>
      <w:r w:rsidRPr="00F577EC">
        <w:rPr>
          <w:rFonts w:ascii="Verdana" w:hAnsi="Verdana"/>
          <w:sz w:val="22"/>
          <w:szCs w:val="22"/>
        </w:rPr>
        <w:t>„Archäologie der Spezialeffekte.“ München 2018</w:t>
      </w:r>
      <w:r>
        <w:rPr>
          <w:rFonts w:ascii="Verdana" w:hAnsi="Verdana"/>
          <w:sz w:val="22"/>
          <w:szCs w:val="22"/>
        </w:rPr>
        <w:t xml:space="preserve">; </w:t>
      </w:r>
      <w:r w:rsidRPr="00F577EC">
        <w:rPr>
          <w:rFonts w:ascii="Verdana" w:hAnsi="Verdana"/>
          <w:sz w:val="22"/>
          <w:szCs w:val="22"/>
        </w:rPr>
        <w:t xml:space="preserve">„Ludi </w:t>
      </w:r>
      <w:proofErr w:type="spellStart"/>
      <w:r w:rsidRPr="00F577EC">
        <w:rPr>
          <w:rFonts w:ascii="Verdana" w:hAnsi="Verdana"/>
          <w:sz w:val="22"/>
          <w:szCs w:val="22"/>
        </w:rPr>
        <w:t>naturae</w:t>
      </w:r>
      <w:proofErr w:type="spellEnd"/>
      <w:r w:rsidRPr="00F577EC">
        <w:rPr>
          <w:rFonts w:ascii="Verdana" w:hAnsi="Verdana"/>
          <w:sz w:val="22"/>
          <w:szCs w:val="22"/>
        </w:rPr>
        <w:t xml:space="preserve"> – Spiele der Natur in Kunst und Wissen</w:t>
      </w:r>
      <w:r w:rsidRPr="00F577EC">
        <w:rPr>
          <w:rFonts w:ascii="Verdana" w:hAnsi="Verdana"/>
          <w:sz w:val="22"/>
          <w:szCs w:val="22"/>
        </w:rPr>
        <w:softHyphen/>
        <w:t>schaft“ (zusammen mit Robert Felfe und Hartmut Böhme), München 2011</w:t>
      </w:r>
      <w:r>
        <w:rPr>
          <w:rFonts w:ascii="Verdana" w:hAnsi="Verdana"/>
          <w:sz w:val="22"/>
          <w:szCs w:val="22"/>
        </w:rPr>
        <w:t xml:space="preserve">; </w:t>
      </w:r>
      <w:r w:rsidRPr="00F577EC">
        <w:rPr>
          <w:rFonts w:ascii="Verdana" w:hAnsi="Verdana"/>
          <w:sz w:val="22"/>
          <w:szCs w:val="22"/>
        </w:rPr>
        <w:t xml:space="preserve">„»Die Vernunft ist mir noch nicht begegnet«. </w:t>
      </w:r>
      <w:proofErr w:type="spellStart"/>
      <w:r w:rsidRPr="00F577EC">
        <w:rPr>
          <w:rFonts w:ascii="Verdana" w:hAnsi="Verdana"/>
          <w:sz w:val="22"/>
          <w:szCs w:val="22"/>
          <w:lang w:val="en-US"/>
        </w:rPr>
        <w:t>Zum</w:t>
      </w:r>
      <w:proofErr w:type="spellEnd"/>
      <w:r w:rsidRPr="00F577EC">
        <w:rPr>
          <w:rFonts w:ascii="Verdana" w:hAnsi="Verdana"/>
          <w:sz w:val="22"/>
          <w:szCs w:val="22"/>
          <w:lang w:val="en-US"/>
        </w:rPr>
        <w:t xml:space="preserve"> </w:t>
      </w:r>
      <w:proofErr w:type="spellStart"/>
      <w:r w:rsidRPr="00F577EC">
        <w:rPr>
          <w:rFonts w:ascii="Verdana" w:hAnsi="Verdana"/>
          <w:sz w:val="22"/>
          <w:szCs w:val="22"/>
          <w:lang w:val="en-US"/>
        </w:rPr>
        <w:t>konstitutiven</w:t>
      </w:r>
      <w:proofErr w:type="spellEnd"/>
      <w:r w:rsidRPr="00F577EC">
        <w:rPr>
          <w:rFonts w:ascii="Verdana" w:hAnsi="Verdana"/>
          <w:sz w:val="22"/>
          <w:szCs w:val="22"/>
          <w:lang w:val="en-US"/>
        </w:rPr>
        <w:t xml:space="preserve"> </w:t>
      </w:r>
      <w:proofErr w:type="spellStart"/>
      <w:r w:rsidRPr="00F577EC">
        <w:rPr>
          <w:rFonts w:ascii="Verdana" w:hAnsi="Verdana"/>
          <w:sz w:val="22"/>
          <w:szCs w:val="22"/>
          <w:lang w:val="en-US"/>
        </w:rPr>
        <w:t>Verhältnis</w:t>
      </w:r>
      <w:proofErr w:type="spellEnd"/>
      <w:r w:rsidRPr="00F577EC">
        <w:rPr>
          <w:rFonts w:ascii="Verdana" w:hAnsi="Verdana"/>
          <w:sz w:val="22"/>
          <w:szCs w:val="22"/>
          <w:lang w:val="en-US"/>
        </w:rPr>
        <w:t xml:space="preserve"> von Spiel und </w:t>
      </w:r>
      <w:proofErr w:type="spellStart"/>
      <w:proofErr w:type="gramStart"/>
      <w:r w:rsidRPr="00F577EC">
        <w:rPr>
          <w:rFonts w:ascii="Verdana" w:hAnsi="Verdana"/>
          <w:sz w:val="22"/>
          <w:szCs w:val="22"/>
          <w:lang w:val="en-US"/>
        </w:rPr>
        <w:t>Erkenntnis</w:t>
      </w:r>
      <w:proofErr w:type="spellEnd"/>
      <w:r w:rsidRPr="00F577EC">
        <w:rPr>
          <w:rFonts w:ascii="Verdana" w:hAnsi="Verdana"/>
          <w:sz w:val="22"/>
          <w:szCs w:val="22"/>
          <w:lang w:val="en-US"/>
        </w:rPr>
        <w:t>,“</w:t>
      </w:r>
      <w:proofErr w:type="gramEnd"/>
      <w:r w:rsidRPr="00F577EC">
        <w:rPr>
          <w:rFonts w:ascii="Verdana" w:hAnsi="Verdana"/>
          <w:sz w:val="22"/>
          <w:szCs w:val="22"/>
          <w:lang w:val="en-US"/>
        </w:rPr>
        <w:t xml:space="preserve"> Bielefeld 2005.</w:t>
      </w:r>
    </w:p>
    <w:p w14:paraId="30250FB2" w14:textId="0D37B3BD" w:rsidR="00F577EC" w:rsidRPr="00F577EC" w:rsidRDefault="00F577EC" w:rsidP="00F577EC">
      <w:pPr>
        <w:tabs>
          <w:tab w:val="left" w:pos="851"/>
        </w:tabs>
        <w:spacing w:line="340" w:lineRule="exact"/>
        <w:rPr>
          <w:rFonts w:ascii="Verdana" w:hAnsi="Verdana"/>
          <w:sz w:val="22"/>
          <w:szCs w:val="22"/>
          <w:lang w:val="en-US"/>
        </w:rPr>
      </w:pPr>
    </w:p>
    <w:p w14:paraId="677C77E9" w14:textId="5F065F2F" w:rsidR="00F577EC" w:rsidRPr="00F577EC" w:rsidRDefault="00F577EC" w:rsidP="00F577EC">
      <w:pPr>
        <w:spacing w:line="360" w:lineRule="auto"/>
        <w:rPr>
          <w:rFonts w:ascii="Verdana" w:hAnsi="Verdana"/>
          <w:sz w:val="22"/>
          <w:szCs w:val="22"/>
          <w:lang w:val="en-US"/>
        </w:rPr>
      </w:pPr>
      <w:r w:rsidRPr="00F577EC">
        <w:rPr>
          <w:rFonts w:ascii="Verdana" w:hAnsi="Verdana"/>
          <w:sz w:val="22"/>
          <w:szCs w:val="22"/>
          <w:lang w:val="en-US"/>
        </w:rPr>
        <w:lastRenderedPageBreak/>
        <w:t xml:space="preserve">Natascha Adamowsky </w:t>
      </w:r>
      <w:r>
        <w:rPr>
          <w:rFonts w:ascii="Verdana" w:hAnsi="Verdana"/>
          <w:sz w:val="22"/>
          <w:szCs w:val="22"/>
          <w:lang w:val="en-US"/>
        </w:rPr>
        <w:t>holds</w:t>
      </w:r>
      <w:r w:rsidRPr="00F577EC">
        <w:rPr>
          <w:rFonts w:ascii="Verdana" w:hAnsi="Verdana"/>
          <w:sz w:val="22"/>
          <w:szCs w:val="22"/>
          <w:lang w:val="en-US"/>
        </w:rPr>
        <w:t xml:space="preserve"> the Chair</w:t>
      </w:r>
      <w:r>
        <w:rPr>
          <w:rFonts w:ascii="Verdana" w:hAnsi="Verdana"/>
          <w:sz w:val="22"/>
          <w:szCs w:val="22"/>
          <w:lang w:val="en-US"/>
        </w:rPr>
        <w:t xml:space="preserve"> of</w:t>
      </w:r>
      <w:r w:rsidRPr="00F577EC">
        <w:rPr>
          <w:rFonts w:ascii="Verdana" w:hAnsi="Verdana"/>
          <w:sz w:val="22"/>
          <w:szCs w:val="22"/>
          <w:lang w:val="en-US"/>
        </w:rPr>
        <w:t xml:space="preserve"> Media Theory and Cultural History at the University of Passau since 2020. She was previously Professor of Media Studies </w:t>
      </w:r>
      <w:r>
        <w:rPr>
          <w:rFonts w:ascii="Verdana" w:hAnsi="Verdana"/>
          <w:sz w:val="22"/>
          <w:szCs w:val="22"/>
          <w:lang w:val="en-US"/>
        </w:rPr>
        <w:t>and</w:t>
      </w:r>
      <w:r w:rsidRPr="00F577EC">
        <w:rPr>
          <w:rFonts w:ascii="Verdana" w:hAnsi="Verdana"/>
          <w:sz w:val="22"/>
          <w:szCs w:val="22"/>
          <w:lang w:val="en-US"/>
        </w:rPr>
        <w:t xml:space="preserve"> digital technologies at the University of Siegen, Professor and Head of the Institute for Media Studies at the Albert Ludwig University of Freiburg and Professor of Cultural Aesthetics at the Humboldt University of Berlin. Her work focuses on cultural studies of digitality, </w:t>
      </w:r>
      <w:r>
        <w:rPr>
          <w:rFonts w:ascii="Verdana" w:hAnsi="Verdana"/>
          <w:sz w:val="22"/>
          <w:szCs w:val="22"/>
          <w:lang w:val="en-US"/>
        </w:rPr>
        <w:t>play</w:t>
      </w:r>
      <w:r w:rsidRPr="00F577EC">
        <w:rPr>
          <w:rFonts w:ascii="Verdana" w:hAnsi="Verdana"/>
          <w:sz w:val="22"/>
          <w:szCs w:val="22"/>
          <w:lang w:val="en-US"/>
        </w:rPr>
        <w:t xml:space="preserve"> culture research, media aesthetics</w:t>
      </w:r>
      <w:r>
        <w:rPr>
          <w:rFonts w:ascii="Verdana" w:hAnsi="Verdana"/>
          <w:sz w:val="22"/>
          <w:szCs w:val="22"/>
          <w:lang w:val="en-US"/>
        </w:rPr>
        <w:t xml:space="preserve">, media </w:t>
      </w:r>
      <w:r w:rsidRPr="00F577EC">
        <w:rPr>
          <w:rFonts w:ascii="Verdana" w:hAnsi="Verdana"/>
          <w:sz w:val="22"/>
          <w:szCs w:val="22"/>
          <w:lang w:val="en-US"/>
        </w:rPr>
        <w:t xml:space="preserve">technology and history. Literature: </w:t>
      </w:r>
      <w:r>
        <w:rPr>
          <w:rFonts w:ascii="Verdana" w:hAnsi="Verdana"/>
          <w:sz w:val="22"/>
          <w:szCs w:val="22"/>
          <w:lang w:val="en-US"/>
        </w:rPr>
        <w:t>……</w:t>
      </w:r>
    </w:p>
    <w:sectPr w:rsidR="00F577EC" w:rsidRPr="00F577EC" w:rsidSect="00AD7643">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2A2220"/>
    <w:multiLevelType w:val="hybridMultilevel"/>
    <w:tmpl w:val="BD2E29C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6C6078B3"/>
    <w:multiLevelType w:val="hybridMultilevel"/>
    <w:tmpl w:val="75360A30"/>
    <w:lvl w:ilvl="0" w:tplc="00010407">
      <w:start w:val="1"/>
      <w:numFmt w:val="bullet"/>
      <w:lvlText w:val=""/>
      <w:lvlJc w:val="left"/>
      <w:pPr>
        <w:tabs>
          <w:tab w:val="num" w:pos="720"/>
        </w:tabs>
        <w:ind w:left="720" w:hanging="360"/>
      </w:pPr>
      <w:rPr>
        <w:rFonts w:ascii="Symbol" w:hAnsi="Symbol" w:hint="default"/>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num w:numId="1" w16cid:durableId="393360729">
    <w:abstractNumId w:val="1"/>
  </w:num>
  <w:num w:numId="2" w16cid:durableId="13272456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BA0"/>
    <w:rsid w:val="003A063C"/>
    <w:rsid w:val="003B1CAD"/>
    <w:rsid w:val="00425E89"/>
    <w:rsid w:val="005E638F"/>
    <w:rsid w:val="0066315E"/>
    <w:rsid w:val="007776A7"/>
    <w:rsid w:val="008063DC"/>
    <w:rsid w:val="0099125F"/>
    <w:rsid w:val="00A435B7"/>
    <w:rsid w:val="00A74BA0"/>
    <w:rsid w:val="00A932A7"/>
    <w:rsid w:val="00AD7643"/>
    <w:rsid w:val="00BC772C"/>
    <w:rsid w:val="00BE6C9B"/>
    <w:rsid w:val="00CD0173"/>
    <w:rsid w:val="00D20498"/>
    <w:rsid w:val="00D8045A"/>
    <w:rsid w:val="00DA463C"/>
    <w:rsid w:val="00F577EC"/>
    <w:rsid w:val="00F7087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FF40A"/>
  <w14:defaultImageDpi w14:val="32767"/>
  <w15:chartTrackingRefBased/>
  <w15:docId w15:val="{0125B330-3B85-2B4F-9883-462C3BA8E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A74BA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A74BA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A74BA0"/>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A74BA0"/>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A74BA0"/>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A74BA0"/>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74BA0"/>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A74BA0"/>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74BA0"/>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74BA0"/>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A74BA0"/>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A74BA0"/>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A74BA0"/>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A74BA0"/>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A74BA0"/>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74BA0"/>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A74BA0"/>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74BA0"/>
    <w:rPr>
      <w:rFonts w:eastAsiaTheme="majorEastAsia" w:cstheme="majorBidi"/>
      <w:color w:val="272727" w:themeColor="text1" w:themeTint="D8"/>
    </w:rPr>
  </w:style>
  <w:style w:type="paragraph" w:styleId="Titel">
    <w:name w:val="Title"/>
    <w:basedOn w:val="Standard"/>
    <w:next w:val="Standard"/>
    <w:link w:val="TitelZchn"/>
    <w:uiPriority w:val="10"/>
    <w:qFormat/>
    <w:rsid w:val="00A74BA0"/>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74BA0"/>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A74BA0"/>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74BA0"/>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A74BA0"/>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A74BA0"/>
    <w:rPr>
      <w:i/>
      <w:iCs/>
      <w:color w:val="404040" w:themeColor="text1" w:themeTint="BF"/>
    </w:rPr>
  </w:style>
  <w:style w:type="paragraph" w:styleId="Listenabsatz">
    <w:name w:val="List Paragraph"/>
    <w:basedOn w:val="Standard"/>
    <w:uiPriority w:val="34"/>
    <w:qFormat/>
    <w:rsid w:val="00A74BA0"/>
    <w:pPr>
      <w:ind w:left="720"/>
      <w:contextualSpacing/>
    </w:pPr>
  </w:style>
  <w:style w:type="character" w:styleId="IntensiveHervorhebung">
    <w:name w:val="Intense Emphasis"/>
    <w:basedOn w:val="Absatz-Standardschriftart"/>
    <w:uiPriority w:val="21"/>
    <w:qFormat/>
    <w:rsid w:val="00A74BA0"/>
    <w:rPr>
      <w:i/>
      <w:iCs/>
      <w:color w:val="2F5496" w:themeColor="accent1" w:themeShade="BF"/>
    </w:rPr>
  </w:style>
  <w:style w:type="paragraph" w:styleId="IntensivesZitat">
    <w:name w:val="Intense Quote"/>
    <w:basedOn w:val="Standard"/>
    <w:next w:val="Standard"/>
    <w:link w:val="IntensivesZitatZchn"/>
    <w:uiPriority w:val="30"/>
    <w:qFormat/>
    <w:rsid w:val="00A74BA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A74BA0"/>
    <w:rPr>
      <w:i/>
      <w:iCs/>
      <w:color w:val="2F5496" w:themeColor="accent1" w:themeShade="BF"/>
    </w:rPr>
  </w:style>
  <w:style w:type="character" w:styleId="IntensiverVerweis">
    <w:name w:val="Intense Reference"/>
    <w:basedOn w:val="Absatz-Standardschriftart"/>
    <w:uiPriority w:val="32"/>
    <w:qFormat/>
    <w:rsid w:val="00A74BA0"/>
    <w:rPr>
      <w:b/>
      <w:bCs/>
      <w:smallCaps/>
      <w:color w:val="2F5496" w:themeColor="accent1" w:themeShade="BF"/>
      <w:spacing w:val="5"/>
    </w:rPr>
  </w:style>
  <w:style w:type="paragraph" w:customStyle="1" w:styleId="Default">
    <w:name w:val="Default"/>
    <w:rsid w:val="00BE6C9B"/>
    <w:pPr>
      <w:autoSpaceDE w:val="0"/>
      <w:autoSpaceDN w:val="0"/>
      <w:adjustRightInd w:val="0"/>
    </w:pPr>
    <w:rPr>
      <w:rFonts w:ascii="Times New Roman" w:hAnsi="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367</Words>
  <Characters>2315</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 A</dc:creator>
  <cp:keywords/>
  <dc:description/>
  <cp:lastModifiedBy>N A</cp:lastModifiedBy>
  <cp:revision>2</cp:revision>
  <dcterms:created xsi:type="dcterms:W3CDTF">2024-07-24T12:56:00Z</dcterms:created>
  <dcterms:modified xsi:type="dcterms:W3CDTF">2024-07-24T12:56:00Z</dcterms:modified>
</cp:coreProperties>
</file>