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F2295D" w14:textId="77777777" w:rsidR="00266DE4" w:rsidRPr="009276B5" w:rsidRDefault="00266DE4" w:rsidP="009276B5">
      <w:pPr>
        <w:spacing w:after="0" w:line="240" w:lineRule="auto"/>
        <w:rPr>
          <w:rFonts w:ascii="Times New Roman" w:hAnsi="Times New Roman" w:cs="Times New Roman"/>
          <w:sz w:val="24"/>
          <w:szCs w:val="24"/>
        </w:rPr>
      </w:pPr>
      <w:r w:rsidRPr="009276B5">
        <w:rPr>
          <w:rFonts w:ascii="Times New Roman" w:hAnsi="Times New Roman" w:cs="Times New Roman"/>
          <w:sz w:val="24"/>
          <w:szCs w:val="24"/>
        </w:rPr>
        <w:t>Poetics of Play: Storytelling in Digital Games</w:t>
      </w:r>
      <w:r w:rsidRPr="009276B5">
        <w:rPr>
          <w:rFonts w:ascii="Times New Roman" w:hAnsi="Times New Roman" w:cs="Times New Roman"/>
          <w:b/>
          <w:bCs/>
          <w:sz w:val="24"/>
          <w:szCs w:val="24"/>
        </w:rPr>
        <w:t> </w:t>
      </w:r>
    </w:p>
    <w:p w14:paraId="3737998F" w14:textId="39DF6472" w:rsidR="00266DE4" w:rsidRPr="009276B5" w:rsidRDefault="008765A4" w:rsidP="009276B5">
      <w:pPr>
        <w:spacing w:after="0" w:line="240" w:lineRule="auto"/>
        <w:rPr>
          <w:rFonts w:ascii="Times New Roman" w:hAnsi="Times New Roman" w:cs="Times New Roman"/>
          <w:sz w:val="24"/>
          <w:szCs w:val="24"/>
        </w:rPr>
      </w:pPr>
      <w:r w:rsidRPr="009276B5">
        <w:rPr>
          <w:rFonts w:ascii="Times New Roman" w:hAnsi="Times New Roman" w:cs="Times New Roman"/>
          <w:sz w:val="24"/>
          <w:szCs w:val="24"/>
        </w:rPr>
        <w:t xml:space="preserve">Digital games have been researched as, among other things, a storytelling medium for over 30 years. In this time, many commonalities to and just as many differences from literary narrative have emerged and formed into theories. The presentation introduces the core tenets of game studies </w:t>
      </w:r>
      <w:r w:rsidR="00D1356A" w:rsidRPr="009276B5">
        <w:rPr>
          <w:rFonts w:ascii="Times New Roman" w:hAnsi="Times New Roman" w:cs="Times New Roman"/>
          <w:sz w:val="24"/>
          <w:szCs w:val="24"/>
        </w:rPr>
        <w:t xml:space="preserve">and develops from them </w:t>
      </w:r>
      <w:r w:rsidRPr="009276B5">
        <w:rPr>
          <w:rFonts w:ascii="Times New Roman" w:hAnsi="Times New Roman" w:cs="Times New Roman"/>
          <w:sz w:val="24"/>
          <w:szCs w:val="24"/>
        </w:rPr>
        <w:t xml:space="preserve">the question: What are the poetics </w:t>
      </w:r>
      <w:r w:rsidR="00D1356A" w:rsidRPr="009276B5">
        <w:rPr>
          <w:rFonts w:ascii="Times New Roman" w:hAnsi="Times New Roman" w:cs="Times New Roman"/>
          <w:sz w:val="24"/>
          <w:szCs w:val="24"/>
        </w:rPr>
        <w:t xml:space="preserve">of play that go along with, support, or counteract the narratives of digital games? Working with a range of examples, the presentation outlines a ludo-narrative poetics of commensurability, where the aesthetic effect of a text derives from the interplay between narrative and play, or more specifically the agency afforded to the player. What a player is able to do in order to advance the plot and progress in the game is an integral part of the poetics of digital games. While </w:t>
      </w:r>
      <w:r w:rsidR="00F00A85" w:rsidRPr="009276B5">
        <w:rPr>
          <w:rFonts w:ascii="Times New Roman" w:hAnsi="Times New Roman" w:cs="Times New Roman"/>
          <w:sz w:val="24"/>
          <w:szCs w:val="24"/>
        </w:rPr>
        <w:t xml:space="preserve">this clearly goes beyond the realm of the literary, this reflection on play as a part of a narrative experience will hopefully offer up perspectives for the encounters of play and literature that are the topic of the conference. </w:t>
      </w:r>
      <w:r w:rsidR="00D1356A" w:rsidRPr="009276B5">
        <w:rPr>
          <w:rFonts w:ascii="Times New Roman" w:hAnsi="Times New Roman" w:cs="Times New Roman"/>
          <w:sz w:val="24"/>
          <w:szCs w:val="24"/>
        </w:rPr>
        <w:t xml:space="preserve"> </w:t>
      </w:r>
    </w:p>
    <w:p w14:paraId="17D6C4D0" w14:textId="77777777" w:rsidR="00266DE4" w:rsidRPr="009276B5" w:rsidRDefault="00266DE4" w:rsidP="009276B5">
      <w:pPr>
        <w:spacing w:after="0" w:line="240" w:lineRule="auto"/>
        <w:rPr>
          <w:rFonts w:ascii="Times New Roman" w:hAnsi="Times New Roman" w:cs="Times New Roman"/>
          <w:sz w:val="24"/>
          <w:szCs w:val="24"/>
        </w:rPr>
      </w:pPr>
    </w:p>
    <w:p w14:paraId="706BA5BB" w14:textId="244C2673" w:rsidR="00BC1EDD" w:rsidRPr="009276B5" w:rsidRDefault="00BC1EDD" w:rsidP="009276B5">
      <w:pPr>
        <w:spacing w:after="0" w:line="240" w:lineRule="auto"/>
        <w:rPr>
          <w:rFonts w:ascii="Times New Roman" w:hAnsi="Times New Roman" w:cs="Times New Roman"/>
          <w:sz w:val="24"/>
          <w:szCs w:val="24"/>
        </w:rPr>
      </w:pPr>
      <w:r w:rsidRPr="009276B5">
        <w:rPr>
          <w:rFonts w:ascii="Times New Roman" w:hAnsi="Times New Roman" w:cs="Times New Roman"/>
          <w:sz w:val="24"/>
          <w:szCs w:val="24"/>
        </w:rPr>
        <w:t>Bibliography</w:t>
      </w:r>
    </w:p>
    <w:p w14:paraId="1BEBED6E" w14:textId="3D7DAA41" w:rsidR="00F00A85" w:rsidRPr="009276B5" w:rsidRDefault="00F00A85" w:rsidP="009276B5">
      <w:pPr>
        <w:spacing w:after="0" w:line="240" w:lineRule="auto"/>
        <w:rPr>
          <w:rFonts w:ascii="Times New Roman" w:hAnsi="Times New Roman" w:cs="Times New Roman"/>
          <w:sz w:val="24"/>
          <w:szCs w:val="24"/>
        </w:rPr>
      </w:pPr>
      <w:r w:rsidRPr="009276B5">
        <w:rPr>
          <w:rFonts w:ascii="Times New Roman" w:hAnsi="Times New Roman" w:cs="Times New Roman"/>
          <w:sz w:val="24"/>
          <w:szCs w:val="24"/>
        </w:rPr>
        <w:t xml:space="preserve">Aarseth, Espen J. 1997. </w:t>
      </w:r>
      <w:r w:rsidRPr="009276B5">
        <w:rPr>
          <w:rFonts w:ascii="Times New Roman" w:hAnsi="Times New Roman" w:cs="Times New Roman"/>
          <w:i/>
          <w:iCs/>
          <w:sz w:val="24"/>
          <w:szCs w:val="24"/>
        </w:rPr>
        <w:t xml:space="preserve">Cybertext: Perspectives on Ergodic Literature. </w:t>
      </w:r>
      <w:r w:rsidRPr="009276B5">
        <w:rPr>
          <w:rFonts w:ascii="Times New Roman" w:hAnsi="Times New Roman" w:cs="Times New Roman"/>
          <w:sz w:val="24"/>
          <w:szCs w:val="24"/>
        </w:rPr>
        <w:t>Baltimore: Johns Hopkins UP.</w:t>
      </w:r>
    </w:p>
    <w:p w14:paraId="3EC67097" w14:textId="77777777" w:rsidR="00F00A85" w:rsidRPr="009276B5" w:rsidRDefault="00F00A85" w:rsidP="009276B5">
      <w:pPr>
        <w:spacing w:after="0" w:line="240" w:lineRule="auto"/>
        <w:rPr>
          <w:rFonts w:ascii="Times New Roman" w:hAnsi="Times New Roman" w:cs="Times New Roman"/>
          <w:sz w:val="24"/>
          <w:szCs w:val="24"/>
        </w:rPr>
      </w:pPr>
      <w:r w:rsidRPr="009276B5">
        <w:rPr>
          <w:rFonts w:ascii="Times New Roman" w:hAnsi="Times New Roman" w:cs="Times New Roman"/>
          <w:sz w:val="24"/>
          <w:szCs w:val="24"/>
        </w:rPr>
        <w:t xml:space="preserve">Backe, H.-J. 2012. “Narrative Rules? Story Logic and the Structures of Games.” </w:t>
      </w:r>
      <w:r w:rsidRPr="009276B5">
        <w:rPr>
          <w:rFonts w:ascii="Times New Roman" w:hAnsi="Times New Roman" w:cs="Times New Roman"/>
          <w:i/>
          <w:iCs/>
          <w:sz w:val="24"/>
          <w:szCs w:val="24"/>
        </w:rPr>
        <w:t>Simulation &amp; Gaming</w:t>
      </w:r>
      <w:r w:rsidRPr="009276B5">
        <w:rPr>
          <w:rFonts w:ascii="Times New Roman" w:hAnsi="Times New Roman" w:cs="Times New Roman"/>
          <w:sz w:val="24"/>
          <w:szCs w:val="24"/>
        </w:rPr>
        <w:t xml:space="preserve"> 27 (3): 243–60. https://doi.org/10.1093/llc/fqs035.</w:t>
      </w:r>
    </w:p>
    <w:p w14:paraId="17A1C64F" w14:textId="77777777" w:rsidR="00F00A85" w:rsidRPr="009276B5" w:rsidRDefault="00F00A85" w:rsidP="009276B5">
      <w:pPr>
        <w:spacing w:after="0" w:line="240" w:lineRule="auto"/>
        <w:rPr>
          <w:rFonts w:ascii="Times New Roman" w:hAnsi="Times New Roman" w:cs="Times New Roman"/>
          <w:sz w:val="24"/>
          <w:szCs w:val="24"/>
        </w:rPr>
      </w:pPr>
      <w:r w:rsidRPr="009276B5">
        <w:rPr>
          <w:rFonts w:ascii="Times New Roman" w:hAnsi="Times New Roman" w:cs="Times New Roman"/>
          <w:sz w:val="24"/>
          <w:szCs w:val="24"/>
        </w:rPr>
        <w:t xml:space="preserve">Bódi, Bettina. 2023. </w:t>
      </w:r>
      <w:r w:rsidRPr="009276B5">
        <w:rPr>
          <w:rFonts w:ascii="Times New Roman" w:hAnsi="Times New Roman" w:cs="Times New Roman"/>
          <w:i/>
          <w:iCs/>
          <w:sz w:val="24"/>
          <w:szCs w:val="24"/>
        </w:rPr>
        <w:t xml:space="preserve">Videogames and Agency. </w:t>
      </w:r>
      <w:r w:rsidRPr="009276B5">
        <w:rPr>
          <w:rFonts w:ascii="Times New Roman" w:hAnsi="Times New Roman" w:cs="Times New Roman"/>
          <w:sz w:val="24"/>
          <w:szCs w:val="24"/>
        </w:rPr>
        <w:t>New York: Routledge.</w:t>
      </w:r>
    </w:p>
    <w:p w14:paraId="5E25E721" w14:textId="3B0EED0D" w:rsidR="00F00A85" w:rsidRPr="009276B5" w:rsidRDefault="00F00A85" w:rsidP="009276B5">
      <w:pPr>
        <w:spacing w:after="0" w:line="240" w:lineRule="auto"/>
        <w:rPr>
          <w:rFonts w:ascii="Times New Roman" w:hAnsi="Times New Roman" w:cs="Times New Roman"/>
          <w:sz w:val="24"/>
          <w:szCs w:val="24"/>
        </w:rPr>
      </w:pPr>
      <w:r w:rsidRPr="009276B5">
        <w:rPr>
          <w:rFonts w:ascii="Times New Roman" w:hAnsi="Times New Roman" w:cs="Times New Roman"/>
          <w:sz w:val="24"/>
          <w:szCs w:val="24"/>
        </w:rPr>
        <w:t>Ensslin, Astrid. 2014. Literary Gaming. Cambridge: MIT Press.</w:t>
      </w:r>
    </w:p>
    <w:p w14:paraId="74D9698F" w14:textId="5D27E26A" w:rsidR="00F00A85" w:rsidRPr="009276B5" w:rsidRDefault="00F00A85" w:rsidP="009276B5">
      <w:pPr>
        <w:spacing w:after="0" w:line="240" w:lineRule="auto"/>
        <w:rPr>
          <w:rFonts w:ascii="Times New Roman" w:hAnsi="Times New Roman" w:cs="Times New Roman"/>
          <w:sz w:val="24"/>
          <w:szCs w:val="24"/>
        </w:rPr>
      </w:pPr>
      <w:r w:rsidRPr="009276B5">
        <w:rPr>
          <w:rFonts w:ascii="Times New Roman" w:hAnsi="Times New Roman" w:cs="Times New Roman"/>
          <w:sz w:val="24"/>
          <w:szCs w:val="24"/>
        </w:rPr>
        <w:t xml:space="preserve">Juul, Jesper. 2005. </w:t>
      </w:r>
      <w:r w:rsidRPr="009276B5">
        <w:rPr>
          <w:rFonts w:ascii="Times New Roman" w:hAnsi="Times New Roman" w:cs="Times New Roman"/>
          <w:i/>
          <w:iCs/>
          <w:sz w:val="24"/>
          <w:szCs w:val="24"/>
        </w:rPr>
        <w:t xml:space="preserve">Half-Real: Video Games Between Real Rules and Fictional Worlds. </w:t>
      </w:r>
      <w:r w:rsidRPr="009276B5">
        <w:rPr>
          <w:rFonts w:ascii="Times New Roman" w:hAnsi="Times New Roman" w:cs="Times New Roman"/>
          <w:sz w:val="24"/>
          <w:szCs w:val="24"/>
        </w:rPr>
        <w:t>Cambridge: MIT Press.</w:t>
      </w:r>
    </w:p>
    <w:p w14:paraId="53857C6F" w14:textId="77777777" w:rsidR="00BC1EDD" w:rsidRPr="009276B5" w:rsidRDefault="00BC1EDD" w:rsidP="009276B5">
      <w:pPr>
        <w:pStyle w:val="CitaviBibliographyEntry"/>
        <w:spacing w:after="0" w:line="240" w:lineRule="auto"/>
        <w:rPr>
          <w:rFonts w:ascii="Times New Roman" w:hAnsi="Times New Roman" w:cs="Times New Roman"/>
          <w:sz w:val="24"/>
          <w:szCs w:val="24"/>
        </w:rPr>
      </w:pPr>
      <w:r w:rsidRPr="009276B5">
        <w:rPr>
          <w:rFonts w:ascii="Times New Roman" w:hAnsi="Times New Roman" w:cs="Times New Roman"/>
          <w:sz w:val="24"/>
          <w:szCs w:val="24"/>
        </w:rPr>
        <w:t xml:space="preserve">Mukherjee, Souvik. 2015. </w:t>
      </w:r>
      <w:r w:rsidRPr="009276B5">
        <w:rPr>
          <w:rFonts w:ascii="Times New Roman" w:hAnsi="Times New Roman" w:cs="Times New Roman"/>
          <w:i/>
          <w:sz w:val="24"/>
          <w:szCs w:val="24"/>
        </w:rPr>
        <w:t xml:space="preserve">Video Games and Storytelling: Reading Games and Playing Books. </w:t>
      </w:r>
      <w:r w:rsidRPr="009276B5">
        <w:rPr>
          <w:rFonts w:ascii="Times New Roman" w:hAnsi="Times New Roman" w:cs="Times New Roman"/>
          <w:sz w:val="24"/>
          <w:szCs w:val="24"/>
        </w:rPr>
        <w:t>Houndmills: Palgrave Macmillan.</w:t>
      </w:r>
    </w:p>
    <w:p w14:paraId="281FA6DE" w14:textId="308C32B5" w:rsidR="00F00A85" w:rsidRPr="009276B5" w:rsidRDefault="00F00A85" w:rsidP="009276B5">
      <w:pPr>
        <w:spacing w:after="0" w:line="240" w:lineRule="auto"/>
        <w:rPr>
          <w:rFonts w:ascii="Times New Roman" w:hAnsi="Times New Roman" w:cs="Times New Roman"/>
          <w:sz w:val="24"/>
          <w:szCs w:val="24"/>
        </w:rPr>
      </w:pPr>
      <w:r w:rsidRPr="009276B5">
        <w:rPr>
          <w:rFonts w:ascii="Times New Roman" w:hAnsi="Times New Roman" w:cs="Times New Roman"/>
          <w:sz w:val="24"/>
          <w:szCs w:val="24"/>
        </w:rPr>
        <w:t xml:space="preserve">Murray, Janet H. 1998. </w:t>
      </w:r>
      <w:r w:rsidRPr="009276B5">
        <w:rPr>
          <w:rFonts w:ascii="Times New Roman" w:hAnsi="Times New Roman" w:cs="Times New Roman"/>
          <w:i/>
          <w:iCs/>
          <w:sz w:val="24"/>
          <w:szCs w:val="24"/>
        </w:rPr>
        <w:t xml:space="preserve">Hamlet on the Holodeck: The Future of Narrative in Cyberspace. </w:t>
      </w:r>
      <w:r w:rsidRPr="009276B5">
        <w:rPr>
          <w:rFonts w:ascii="Times New Roman" w:hAnsi="Times New Roman" w:cs="Times New Roman"/>
          <w:sz w:val="24"/>
          <w:szCs w:val="24"/>
        </w:rPr>
        <w:t>Cambridge: MIT Press.</w:t>
      </w:r>
    </w:p>
    <w:p w14:paraId="6C45C8DA" w14:textId="3081C911" w:rsidR="00F00A85" w:rsidRPr="009276B5" w:rsidRDefault="00F00A85" w:rsidP="009276B5">
      <w:pPr>
        <w:spacing w:after="0" w:line="240" w:lineRule="auto"/>
        <w:rPr>
          <w:rFonts w:ascii="Times New Roman" w:hAnsi="Times New Roman" w:cs="Times New Roman"/>
          <w:sz w:val="24"/>
          <w:szCs w:val="24"/>
        </w:rPr>
      </w:pPr>
      <w:r w:rsidRPr="009276B5">
        <w:rPr>
          <w:rFonts w:ascii="Times New Roman" w:hAnsi="Times New Roman" w:cs="Times New Roman"/>
          <w:sz w:val="24"/>
          <w:szCs w:val="24"/>
        </w:rPr>
        <w:t xml:space="preserve">Nguyen, C. Thi. 2020. </w:t>
      </w:r>
      <w:r w:rsidRPr="009276B5">
        <w:rPr>
          <w:rFonts w:ascii="Times New Roman" w:hAnsi="Times New Roman" w:cs="Times New Roman"/>
          <w:i/>
          <w:iCs/>
          <w:sz w:val="24"/>
          <w:szCs w:val="24"/>
        </w:rPr>
        <w:t xml:space="preserve">Games: Agency as Art. </w:t>
      </w:r>
      <w:r w:rsidRPr="009276B5">
        <w:rPr>
          <w:rFonts w:ascii="Times New Roman" w:hAnsi="Times New Roman" w:cs="Times New Roman"/>
          <w:sz w:val="24"/>
          <w:szCs w:val="24"/>
        </w:rPr>
        <w:t>New York: Oxford University Press.</w:t>
      </w:r>
    </w:p>
    <w:p w14:paraId="20A617CF" w14:textId="77777777" w:rsidR="00F00A85" w:rsidRPr="009276B5" w:rsidRDefault="00F00A85" w:rsidP="009276B5">
      <w:pPr>
        <w:spacing w:after="0" w:line="240" w:lineRule="auto"/>
        <w:rPr>
          <w:rFonts w:ascii="Times New Roman" w:hAnsi="Times New Roman" w:cs="Times New Roman"/>
          <w:sz w:val="24"/>
          <w:szCs w:val="24"/>
        </w:rPr>
      </w:pPr>
    </w:p>
    <w:p w14:paraId="009E994B" w14:textId="77777777" w:rsidR="009276B5" w:rsidRDefault="009276B5" w:rsidP="009276B5">
      <w:pPr>
        <w:spacing w:after="0" w:line="240" w:lineRule="auto"/>
        <w:rPr>
          <w:rFonts w:ascii="Times New Roman" w:hAnsi="Times New Roman" w:cs="Times New Roman"/>
          <w:sz w:val="24"/>
          <w:szCs w:val="24"/>
        </w:rPr>
      </w:pPr>
    </w:p>
    <w:p w14:paraId="65A9B841" w14:textId="0C99BAC4" w:rsidR="00F00A85" w:rsidRPr="009276B5" w:rsidRDefault="00BC1EDD" w:rsidP="009276B5">
      <w:pPr>
        <w:spacing w:after="0" w:line="240" w:lineRule="auto"/>
        <w:rPr>
          <w:rFonts w:ascii="Times New Roman" w:hAnsi="Times New Roman" w:cs="Times New Roman"/>
          <w:sz w:val="24"/>
          <w:szCs w:val="24"/>
        </w:rPr>
      </w:pPr>
      <w:bookmarkStart w:id="0" w:name="_GoBack"/>
      <w:bookmarkEnd w:id="0"/>
      <w:r w:rsidRPr="009276B5">
        <w:rPr>
          <w:rFonts w:ascii="Times New Roman" w:hAnsi="Times New Roman" w:cs="Times New Roman"/>
          <w:sz w:val="24"/>
          <w:szCs w:val="24"/>
        </w:rPr>
        <w:t>Biographical Note</w:t>
      </w:r>
    </w:p>
    <w:p w14:paraId="28515689" w14:textId="1EEC2DE7" w:rsidR="005143B2" w:rsidRPr="009276B5" w:rsidRDefault="00307DFB" w:rsidP="009276B5">
      <w:pPr>
        <w:spacing w:after="0" w:line="240" w:lineRule="auto"/>
        <w:rPr>
          <w:rFonts w:ascii="Times New Roman" w:hAnsi="Times New Roman" w:cs="Times New Roman"/>
          <w:sz w:val="24"/>
          <w:szCs w:val="24"/>
        </w:rPr>
      </w:pPr>
      <w:r w:rsidRPr="009276B5">
        <w:rPr>
          <w:rFonts w:ascii="Times New Roman" w:hAnsi="Times New Roman" w:cs="Times New Roman"/>
          <w:sz w:val="24"/>
          <w:szCs w:val="24"/>
        </w:rPr>
        <w:t xml:space="preserve">Hans-Joachim Backe holds a Master’s degree </w:t>
      </w:r>
      <w:r w:rsidR="00687331" w:rsidRPr="009276B5">
        <w:rPr>
          <w:rFonts w:ascii="Times New Roman" w:hAnsi="Times New Roman" w:cs="Times New Roman"/>
          <w:sz w:val="24"/>
          <w:szCs w:val="24"/>
        </w:rPr>
        <w:t xml:space="preserve">and </w:t>
      </w:r>
      <w:r w:rsidRPr="009276B5">
        <w:rPr>
          <w:rFonts w:ascii="Times New Roman" w:hAnsi="Times New Roman" w:cs="Times New Roman"/>
          <w:sz w:val="24"/>
          <w:szCs w:val="24"/>
        </w:rPr>
        <w:t xml:space="preserve">a </w:t>
      </w:r>
      <w:r w:rsidR="007252F6" w:rsidRPr="009276B5">
        <w:rPr>
          <w:rFonts w:ascii="Times New Roman" w:hAnsi="Times New Roman" w:cs="Times New Roman"/>
          <w:sz w:val="24"/>
          <w:szCs w:val="24"/>
        </w:rPr>
        <w:t xml:space="preserve">doctorate </w:t>
      </w:r>
      <w:r w:rsidRPr="009276B5">
        <w:rPr>
          <w:rFonts w:ascii="Times New Roman" w:hAnsi="Times New Roman" w:cs="Times New Roman"/>
          <w:sz w:val="24"/>
          <w:szCs w:val="24"/>
        </w:rPr>
        <w:t xml:space="preserve">in Comparative Literature, both from Saarland University, Saarbrücken, Germany. </w:t>
      </w:r>
      <w:r w:rsidR="00687331" w:rsidRPr="009276B5">
        <w:rPr>
          <w:rFonts w:ascii="Times New Roman" w:hAnsi="Times New Roman" w:cs="Times New Roman"/>
          <w:sz w:val="24"/>
          <w:szCs w:val="24"/>
        </w:rPr>
        <w:t xml:space="preserve">After post-doctoral work at the Department of Comparative Literature of Ruhr-University, Bochum, he has been a member of the Center for Digital Play </w:t>
      </w:r>
      <w:r w:rsidR="007252F6" w:rsidRPr="009276B5">
        <w:rPr>
          <w:rFonts w:ascii="Times New Roman" w:hAnsi="Times New Roman" w:cs="Times New Roman"/>
          <w:sz w:val="24"/>
          <w:szCs w:val="24"/>
        </w:rPr>
        <w:t xml:space="preserve">of </w:t>
      </w:r>
      <w:r w:rsidR="00687331" w:rsidRPr="009276B5">
        <w:rPr>
          <w:rFonts w:ascii="Times New Roman" w:hAnsi="Times New Roman" w:cs="Times New Roman"/>
          <w:sz w:val="24"/>
          <w:szCs w:val="24"/>
        </w:rPr>
        <w:t xml:space="preserve">the </w:t>
      </w:r>
      <w:r w:rsidR="007252F6" w:rsidRPr="009276B5">
        <w:rPr>
          <w:rFonts w:ascii="Times New Roman" w:hAnsi="Times New Roman" w:cs="Times New Roman"/>
          <w:sz w:val="24"/>
          <w:szCs w:val="24"/>
        </w:rPr>
        <w:t>IT University, Copenhagen</w:t>
      </w:r>
      <w:r w:rsidR="00687331" w:rsidRPr="009276B5">
        <w:rPr>
          <w:rFonts w:ascii="Times New Roman" w:hAnsi="Times New Roman" w:cs="Times New Roman"/>
          <w:sz w:val="24"/>
          <w:szCs w:val="24"/>
        </w:rPr>
        <w:t xml:space="preserve">, since 2014, where he holds the title of Associate Professor and Head of the Play, Culture, and AI section. For his dissertation on “Structures and Functions of Narrative in Computer Games,” he received </w:t>
      </w:r>
      <w:r w:rsidRPr="009276B5">
        <w:rPr>
          <w:rFonts w:ascii="Times New Roman" w:hAnsi="Times New Roman" w:cs="Times New Roman"/>
          <w:sz w:val="24"/>
          <w:szCs w:val="24"/>
        </w:rPr>
        <w:t xml:space="preserve">the International Comparative Literature Association’s Anna Balakian Memorial Award of 2010. He </w:t>
      </w:r>
      <w:r w:rsidR="00687331" w:rsidRPr="009276B5">
        <w:rPr>
          <w:rFonts w:ascii="Times New Roman" w:hAnsi="Times New Roman" w:cs="Times New Roman"/>
          <w:sz w:val="24"/>
          <w:szCs w:val="24"/>
        </w:rPr>
        <w:t xml:space="preserve">chaired </w:t>
      </w:r>
      <w:r w:rsidRPr="009276B5">
        <w:rPr>
          <w:rFonts w:ascii="Times New Roman" w:hAnsi="Times New Roman" w:cs="Times New Roman"/>
          <w:sz w:val="24"/>
          <w:szCs w:val="24"/>
        </w:rPr>
        <w:t xml:space="preserve">the ICLA Research Committee on Comparative Literature in the Digital Age and is </w:t>
      </w:r>
      <w:r w:rsidR="007252F6" w:rsidRPr="009276B5">
        <w:rPr>
          <w:rFonts w:ascii="Times New Roman" w:hAnsi="Times New Roman" w:cs="Times New Roman"/>
          <w:sz w:val="24"/>
          <w:szCs w:val="24"/>
        </w:rPr>
        <w:t xml:space="preserve">a member </w:t>
      </w:r>
      <w:r w:rsidRPr="009276B5">
        <w:rPr>
          <w:rFonts w:ascii="Times New Roman" w:hAnsi="Times New Roman" w:cs="Times New Roman"/>
          <w:sz w:val="24"/>
          <w:szCs w:val="24"/>
        </w:rPr>
        <w:t xml:space="preserve">of both the German Association for Comic Studies (ComFor e.V.) and the German Association for Media Studies’ Research Group on Comic Studies. </w:t>
      </w:r>
      <w:r w:rsidR="001376D0" w:rsidRPr="009276B5">
        <w:rPr>
          <w:rFonts w:ascii="Times New Roman" w:hAnsi="Times New Roman" w:cs="Times New Roman"/>
          <w:sz w:val="24"/>
          <w:szCs w:val="24"/>
        </w:rPr>
        <w:t xml:space="preserve">His research </w:t>
      </w:r>
      <w:r w:rsidR="00687331" w:rsidRPr="009276B5">
        <w:rPr>
          <w:rFonts w:ascii="Times New Roman" w:hAnsi="Times New Roman" w:cs="Times New Roman"/>
          <w:sz w:val="24"/>
          <w:szCs w:val="24"/>
        </w:rPr>
        <w:t xml:space="preserve">is </w:t>
      </w:r>
      <w:r w:rsidR="001376D0" w:rsidRPr="009276B5">
        <w:rPr>
          <w:rFonts w:ascii="Times New Roman" w:hAnsi="Times New Roman" w:cs="Times New Roman"/>
          <w:sz w:val="24"/>
          <w:szCs w:val="24"/>
        </w:rPr>
        <w:t xml:space="preserve">focused on the </w:t>
      </w:r>
      <w:r w:rsidR="00687331" w:rsidRPr="009276B5">
        <w:rPr>
          <w:rFonts w:ascii="Times New Roman" w:hAnsi="Times New Roman" w:cs="Times New Roman"/>
          <w:sz w:val="24"/>
          <w:szCs w:val="24"/>
        </w:rPr>
        <w:t xml:space="preserve">poetics </w:t>
      </w:r>
      <w:r w:rsidR="001376D0" w:rsidRPr="009276B5">
        <w:rPr>
          <w:rFonts w:ascii="Times New Roman" w:hAnsi="Times New Roman" w:cs="Times New Roman"/>
          <w:sz w:val="24"/>
          <w:szCs w:val="24"/>
        </w:rPr>
        <w:t xml:space="preserve">of digital games and comic books. He has published extensively on strategies of self-referentiality and discourses of alterity in these media, as well as on their relation to each other. Other research interests include ecocriticism, narrative theory, and media theory. </w:t>
      </w:r>
    </w:p>
    <w:p w14:paraId="53717D71" w14:textId="77777777" w:rsidR="005143B2" w:rsidRPr="009276B5" w:rsidRDefault="005143B2" w:rsidP="009276B5">
      <w:pPr>
        <w:spacing w:after="0" w:line="240" w:lineRule="auto"/>
        <w:rPr>
          <w:rFonts w:ascii="Times New Roman" w:hAnsi="Times New Roman" w:cs="Times New Roman"/>
          <w:sz w:val="24"/>
          <w:szCs w:val="24"/>
        </w:rPr>
      </w:pPr>
    </w:p>
    <w:sectPr w:rsidR="005143B2" w:rsidRPr="009276B5">
      <w:pgSz w:w="12240" w:h="15840"/>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183BDD" w14:textId="77777777" w:rsidR="00CA3BCD" w:rsidRDefault="00CA3BCD" w:rsidP="009F31E2">
      <w:pPr>
        <w:spacing w:after="0" w:line="240" w:lineRule="auto"/>
      </w:pPr>
      <w:r>
        <w:separator/>
      </w:r>
    </w:p>
  </w:endnote>
  <w:endnote w:type="continuationSeparator" w:id="0">
    <w:p w14:paraId="0B726799" w14:textId="77777777" w:rsidR="00CA3BCD" w:rsidRDefault="00CA3BCD" w:rsidP="009F31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976CF9" w14:textId="77777777" w:rsidR="00CA3BCD" w:rsidRDefault="00CA3BCD" w:rsidP="009F31E2">
      <w:pPr>
        <w:spacing w:after="0" w:line="240" w:lineRule="auto"/>
      </w:pPr>
      <w:r>
        <w:separator/>
      </w:r>
    </w:p>
  </w:footnote>
  <w:footnote w:type="continuationSeparator" w:id="0">
    <w:p w14:paraId="22C850F1" w14:textId="77777777" w:rsidR="00CA3BCD" w:rsidRDefault="00CA3BCD" w:rsidP="009F31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E330A"/>
    <w:multiLevelType w:val="multilevel"/>
    <w:tmpl w:val="7B20D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a-DK" w:vendorID="64" w:dllVersion="6" w:nlCheck="1" w:checkStyle="0"/>
  <w:activeWritingStyle w:appName="MSWord" w:lang="en-US" w:vendorID="64" w:dllVersion="6" w:nlCheck="1" w:checkStyle="1"/>
  <w:activeWritingStyle w:appName="MSWord" w:lang="de-DE" w:vendorID="64" w:dllVersion="6" w:nlCheck="1" w:checkStyle="1"/>
  <w:activeWritingStyle w:appName="MSWord" w:lang="en-US" w:vendorID="64" w:dllVersion="4096" w:nlCheck="1" w:checkStyle="0"/>
  <w:activeWritingStyle w:appName="MSWord" w:lang="en-US" w:vendorID="64" w:dllVersion="0" w:nlCheck="1" w:checkStyle="0"/>
  <w:activeWritingStyle w:appName="MSWord" w:lang="en-US" w:vendorID="64" w:dllVersion="131078" w:nlCheck="1" w:checkStyle="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DFB"/>
    <w:rsid w:val="00084E44"/>
    <w:rsid w:val="00093318"/>
    <w:rsid w:val="00121D45"/>
    <w:rsid w:val="00127088"/>
    <w:rsid w:val="00132A35"/>
    <w:rsid w:val="001376D0"/>
    <w:rsid w:val="002255F6"/>
    <w:rsid w:val="00266DE4"/>
    <w:rsid w:val="0027765E"/>
    <w:rsid w:val="002A6DA0"/>
    <w:rsid w:val="002B0D6E"/>
    <w:rsid w:val="002E0E3C"/>
    <w:rsid w:val="00307DFB"/>
    <w:rsid w:val="00360E64"/>
    <w:rsid w:val="00421530"/>
    <w:rsid w:val="004416EE"/>
    <w:rsid w:val="00463E20"/>
    <w:rsid w:val="00480762"/>
    <w:rsid w:val="0048126F"/>
    <w:rsid w:val="005143B2"/>
    <w:rsid w:val="00540850"/>
    <w:rsid w:val="005439C6"/>
    <w:rsid w:val="005654A4"/>
    <w:rsid w:val="005708B8"/>
    <w:rsid w:val="0058794B"/>
    <w:rsid w:val="005952FB"/>
    <w:rsid w:val="005E7E28"/>
    <w:rsid w:val="005F40DA"/>
    <w:rsid w:val="00656F40"/>
    <w:rsid w:val="00687331"/>
    <w:rsid w:val="00723304"/>
    <w:rsid w:val="007252F6"/>
    <w:rsid w:val="007B2B15"/>
    <w:rsid w:val="008554F1"/>
    <w:rsid w:val="00866E44"/>
    <w:rsid w:val="008765A4"/>
    <w:rsid w:val="00882114"/>
    <w:rsid w:val="00884FA6"/>
    <w:rsid w:val="00890A21"/>
    <w:rsid w:val="008A3411"/>
    <w:rsid w:val="008A3F57"/>
    <w:rsid w:val="009276B5"/>
    <w:rsid w:val="00937E53"/>
    <w:rsid w:val="009554B4"/>
    <w:rsid w:val="009D7C71"/>
    <w:rsid w:val="009F31E2"/>
    <w:rsid w:val="009F6ECA"/>
    <w:rsid w:val="00A52CB3"/>
    <w:rsid w:val="00A87B79"/>
    <w:rsid w:val="00AF42B8"/>
    <w:rsid w:val="00B22BEB"/>
    <w:rsid w:val="00B9364A"/>
    <w:rsid w:val="00BC1EDD"/>
    <w:rsid w:val="00BE0360"/>
    <w:rsid w:val="00C33D44"/>
    <w:rsid w:val="00CA3BCD"/>
    <w:rsid w:val="00CD604D"/>
    <w:rsid w:val="00CF020C"/>
    <w:rsid w:val="00CF1B94"/>
    <w:rsid w:val="00D1356A"/>
    <w:rsid w:val="00D2213B"/>
    <w:rsid w:val="00D803BD"/>
    <w:rsid w:val="00D97163"/>
    <w:rsid w:val="00DD0FFB"/>
    <w:rsid w:val="00EA3B59"/>
    <w:rsid w:val="00EB435C"/>
    <w:rsid w:val="00F00A85"/>
    <w:rsid w:val="00F42DA5"/>
    <w:rsid w:val="00F700D2"/>
    <w:rsid w:val="00FB5B5D"/>
    <w:rsid w:val="00FD0A95"/>
    <w:rsid w:val="00FE00AF"/>
    <w:rsid w:val="00FE4F32"/>
    <w:rsid w:val="00FF08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0BF2F"/>
  <w15:chartTrackingRefBased/>
  <w15:docId w15:val="{90BB7EDF-C484-43DD-98BC-E52BC36A2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5143B2"/>
    <w:rPr>
      <w:color w:val="808080"/>
    </w:rPr>
  </w:style>
  <w:style w:type="paragraph" w:customStyle="1" w:styleId="CitaviBibliographyHeading">
    <w:name w:val="Citavi Bibliography Heading"/>
    <w:basedOn w:val="Normal"/>
    <w:link w:val="CitaviBibliographyHeadingChar"/>
    <w:rsid w:val="005143B2"/>
  </w:style>
  <w:style w:type="character" w:customStyle="1" w:styleId="CitaviBibliographyHeadingChar">
    <w:name w:val="Citavi Bibliography Heading Char"/>
    <w:basedOn w:val="Fuentedeprrafopredeter"/>
    <w:link w:val="CitaviBibliographyHeading"/>
    <w:rsid w:val="005143B2"/>
  </w:style>
  <w:style w:type="paragraph" w:customStyle="1" w:styleId="CitaviBibliographyEntry">
    <w:name w:val="Citavi Bibliography Entry"/>
    <w:basedOn w:val="Normal"/>
    <w:link w:val="CitaviBibliographyEntryChar"/>
    <w:rsid w:val="005143B2"/>
    <w:pPr>
      <w:tabs>
        <w:tab w:val="left" w:pos="227"/>
      </w:tabs>
      <w:spacing w:after="120"/>
      <w:ind w:left="227" w:hanging="227"/>
    </w:pPr>
  </w:style>
  <w:style w:type="character" w:customStyle="1" w:styleId="CitaviBibliographyEntryChar">
    <w:name w:val="Citavi Bibliography Entry Char"/>
    <w:basedOn w:val="Fuentedeprrafopredeter"/>
    <w:link w:val="CitaviBibliographyEntry"/>
    <w:rsid w:val="005143B2"/>
  </w:style>
  <w:style w:type="paragraph" w:styleId="NormalWeb">
    <w:name w:val="Normal (Web)"/>
    <w:basedOn w:val="Normal"/>
    <w:uiPriority w:val="99"/>
    <w:semiHidden/>
    <w:unhideWhenUsed/>
    <w:rsid w:val="009554B4"/>
    <w:pPr>
      <w:spacing w:before="100" w:beforeAutospacing="1" w:after="100" w:afterAutospacing="1" w:line="240" w:lineRule="auto"/>
    </w:pPr>
    <w:rPr>
      <w:rFonts w:ascii="Times New Roman" w:eastAsia="Times New Roman" w:hAnsi="Times New Roman" w:cs="Times New Roman"/>
      <w:sz w:val="24"/>
      <w:szCs w:val="24"/>
      <w:lang w:val="da-DK" w:eastAsia="da-DK"/>
    </w:rPr>
  </w:style>
  <w:style w:type="paragraph" w:styleId="Prrafodelista">
    <w:name w:val="List Paragraph"/>
    <w:basedOn w:val="Normal"/>
    <w:uiPriority w:val="34"/>
    <w:qFormat/>
    <w:rsid w:val="00FB5B5D"/>
    <w:pPr>
      <w:ind w:left="720"/>
      <w:contextualSpacing/>
    </w:pPr>
  </w:style>
  <w:style w:type="paragraph" w:styleId="Textonotapie">
    <w:name w:val="footnote text"/>
    <w:basedOn w:val="Normal"/>
    <w:link w:val="TextonotapieCar"/>
    <w:uiPriority w:val="99"/>
    <w:semiHidden/>
    <w:unhideWhenUsed/>
    <w:rsid w:val="009F31E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F31E2"/>
    <w:rPr>
      <w:sz w:val="20"/>
      <w:szCs w:val="20"/>
    </w:rPr>
  </w:style>
  <w:style w:type="character" w:styleId="Refdenotaalpie">
    <w:name w:val="footnote reference"/>
    <w:basedOn w:val="Fuentedeprrafopredeter"/>
    <w:uiPriority w:val="99"/>
    <w:semiHidden/>
    <w:unhideWhenUsed/>
    <w:rsid w:val="009F31E2"/>
    <w:rPr>
      <w:vertAlign w:val="superscript"/>
    </w:rPr>
  </w:style>
  <w:style w:type="paragraph" w:styleId="Textodeglobo">
    <w:name w:val="Balloon Text"/>
    <w:basedOn w:val="Normal"/>
    <w:link w:val="TextodegloboCar"/>
    <w:uiPriority w:val="99"/>
    <w:semiHidden/>
    <w:unhideWhenUsed/>
    <w:rsid w:val="007252F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252F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166353">
      <w:bodyDiv w:val="1"/>
      <w:marLeft w:val="0"/>
      <w:marRight w:val="0"/>
      <w:marTop w:val="0"/>
      <w:marBottom w:val="0"/>
      <w:divBdr>
        <w:top w:val="none" w:sz="0" w:space="0" w:color="auto"/>
        <w:left w:val="none" w:sz="0" w:space="0" w:color="auto"/>
        <w:bottom w:val="none" w:sz="0" w:space="0" w:color="auto"/>
        <w:right w:val="none" w:sz="0" w:space="0" w:color="auto"/>
      </w:divBdr>
    </w:div>
    <w:div w:id="242876995">
      <w:bodyDiv w:val="1"/>
      <w:marLeft w:val="0"/>
      <w:marRight w:val="0"/>
      <w:marTop w:val="0"/>
      <w:marBottom w:val="0"/>
      <w:divBdr>
        <w:top w:val="none" w:sz="0" w:space="0" w:color="auto"/>
        <w:left w:val="none" w:sz="0" w:space="0" w:color="auto"/>
        <w:bottom w:val="none" w:sz="0" w:space="0" w:color="auto"/>
        <w:right w:val="none" w:sz="0" w:space="0" w:color="auto"/>
      </w:divBdr>
    </w:div>
    <w:div w:id="576868009">
      <w:bodyDiv w:val="1"/>
      <w:marLeft w:val="0"/>
      <w:marRight w:val="0"/>
      <w:marTop w:val="0"/>
      <w:marBottom w:val="0"/>
      <w:divBdr>
        <w:top w:val="none" w:sz="0" w:space="0" w:color="auto"/>
        <w:left w:val="none" w:sz="0" w:space="0" w:color="auto"/>
        <w:bottom w:val="none" w:sz="0" w:space="0" w:color="auto"/>
        <w:right w:val="none" w:sz="0" w:space="0" w:color="auto"/>
      </w:divBdr>
    </w:div>
    <w:div w:id="1464537035">
      <w:bodyDiv w:val="1"/>
      <w:marLeft w:val="0"/>
      <w:marRight w:val="0"/>
      <w:marTop w:val="0"/>
      <w:marBottom w:val="0"/>
      <w:divBdr>
        <w:top w:val="none" w:sz="0" w:space="0" w:color="auto"/>
        <w:left w:val="none" w:sz="0" w:space="0" w:color="auto"/>
        <w:bottom w:val="none" w:sz="0" w:space="0" w:color="auto"/>
        <w:right w:val="none" w:sz="0" w:space="0" w:color="auto"/>
      </w:divBdr>
    </w:div>
    <w:div w:id="1605502881">
      <w:bodyDiv w:val="1"/>
      <w:marLeft w:val="0"/>
      <w:marRight w:val="0"/>
      <w:marTop w:val="0"/>
      <w:marBottom w:val="0"/>
      <w:divBdr>
        <w:top w:val="none" w:sz="0" w:space="0" w:color="auto"/>
        <w:left w:val="none" w:sz="0" w:space="0" w:color="auto"/>
        <w:bottom w:val="none" w:sz="0" w:space="0" w:color="auto"/>
        <w:right w:val="none" w:sz="0" w:space="0" w:color="auto"/>
      </w:divBdr>
    </w:div>
    <w:div w:id="1789540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476</Words>
  <Characters>2623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IT University of Copenhagen</Company>
  <LinksUpToDate>false</LinksUpToDate>
  <CharactersWithSpaces>3093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Hans-Joachim Backe</dc:creator>
  <cp:keywords/>
  <dc:description/>
  <cp:lastModifiedBy>MALVA</cp:lastModifiedBy>
  <cp:revision>3</cp:revision>
  <dcterms:created xsi:type="dcterms:W3CDTF">2024-08-10T10:00:00Z</dcterms:created>
  <dcterms:modified xsi:type="dcterms:W3CDTF">2024-08-12T09:54:00Z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8">
    <vt:lpwstr>CloudProjectKey=ygrvosm0f12m6rsdsblji7xr5w7qoulxlxvj3sce; ProjectName=GameStudies</vt:lpwstr>
  </property>
  <property fmtid="{D5CDD505-2E9C-101B-9397-08002B2CF9AE}" pid="3" name="CitaviDocumentProperty_7">
    <vt:lpwstr>GameStudies</vt:lpwstr>
  </property>
  <property fmtid="{D5CDD505-2E9C-101B-9397-08002B2CF9AE}" pid="4" name="CitaviDocumentProperty_0">
    <vt:lpwstr>6d16cd43-f6c6-4d5c-a6de-85cf8ffa6ba6</vt:lpwstr>
  </property>
  <property fmtid="{D5CDD505-2E9C-101B-9397-08002B2CF9AE}" pid="5" name="CitaviDocumentProperty_18">
    <vt:lpwstr>3</vt:lpwstr>
  </property>
  <property fmtid="{D5CDD505-2E9C-101B-9397-08002B2CF9AE}" pid="6" name="CitaviDocumentProperty_1">
    <vt:lpwstr>6.3.0.0</vt:lpwstr>
  </property>
</Properties>
</file>