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14771" w:rsidRDefault="00814771" w:rsidP="00706316">
      <w:pPr>
        <w:rPr>
          <w:rFonts w:ascii="Times New Roman" w:eastAsia="Times New Roman" w:hAnsi="Times New Roman" w:cs="Times New Roman"/>
          <w:color w:val="222222"/>
          <w:kern w:val="0"/>
          <w:sz w:val="27"/>
          <w:szCs w:val="27"/>
          <w:lang w:eastAsia="fr-FR"/>
          <w14:ligatures w14:val="none"/>
        </w:rPr>
      </w:pPr>
    </w:p>
    <w:p w:rsidR="00706316" w:rsidRPr="00352CC5" w:rsidRDefault="00706316" w:rsidP="00706316">
      <w:pPr>
        <w:rPr>
          <w:rFonts w:ascii="Times New Roman" w:eastAsia="Times New Roman" w:hAnsi="Times New Roman" w:cs="Times New Roman"/>
          <w:color w:val="222222"/>
          <w:kern w:val="0"/>
          <w:lang w:eastAsia="fr-FR"/>
          <w14:ligatures w14:val="none"/>
        </w:rPr>
      </w:pPr>
      <w:bookmarkStart w:id="0" w:name="_GoBack"/>
      <w:r w:rsidRPr="00352CC5">
        <w:rPr>
          <w:rFonts w:ascii="Times New Roman" w:eastAsia="Times New Roman" w:hAnsi="Times New Roman" w:cs="Times New Roman"/>
          <w:color w:val="222222"/>
          <w:kern w:val="0"/>
          <w:lang w:eastAsia="fr-FR"/>
          <w14:ligatures w14:val="none"/>
        </w:rPr>
        <w:t>Jeux interdits</w:t>
      </w:r>
    </w:p>
    <w:p w:rsidR="00706316" w:rsidRPr="00352CC5" w:rsidRDefault="00706316" w:rsidP="00706316">
      <w:pPr>
        <w:rPr>
          <w:rFonts w:ascii="Times New Roman" w:eastAsia="Times New Roman" w:hAnsi="Times New Roman" w:cs="Times New Roman"/>
          <w:color w:val="222222"/>
          <w:kern w:val="0"/>
          <w:lang w:eastAsia="fr-FR"/>
          <w14:ligatures w14:val="none"/>
        </w:rPr>
      </w:pPr>
      <w:r w:rsidRPr="00352CC5">
        <w:rPr>
          <w:rFonts w:ascii="Times New Roman" w:eastAsia="Times New Roman" w:hAnsi="Times New Roman" w:cs="Times New Roman"/>
          <w:color w:val="222222"/>
          <w:kern w:val="0"/>
          <w:lang w:eastAsia="fr-FR"/>
          <w14:ligatures w14:val="none"/>
        </w:rPr>
        <w:t>Caroline Fischer</w:t>
      </w:r>
    </w:p>
    <w:p w:rsidR="00706316" w:rsidRPr="00352CC5" w:rsidRDefault="00706316" w:rsidP="00706316">
      <w:pPr>
        <w:rPr>
          <w:rFonts w:ascii="Times New Roman" w:eastAsia="Times New Roman" w:hAnsi="Times New Roman" w:cs="Times New Roman"/>
          <w:color w:val="222222"/>
          <w:kern w:val="0"/>
          <w:lang w:eastAsia="fr-FR"/>
          <w14:ligatures w14:val="none"/>
        </w:rPr>
      </w:pPr>
      <w:r w:rsidRPr="00352CC5">
        <w:rPr>
          <w:rFonts w:ascii="Times New Roman" w:eastAsia="Times New Roman" w:hAnsi="Times New Roman" w:cs="Times New Roman"/>
          <w:color w:val="222222"/>
          <w:kern w:val="0"/>
          <w:lang w:eastAsia="fr-FR"/>
          <w14:ligatures w14:val="none"/>
        </w:rPr>
        <w:t> </w:t>
      </w:r>
    </w:p>
    <w:p w:rsidR="00706316" w:rsidRPr="00352CC5" w:rsidRDefault="00706316" w:rsidP="00706316">
      <w:pPr>
        <w:rPr>
          <w:rFonts w:ascii="Times New Roman" w:eastAsia="Times New Roman" w:hAnsi="Times New Roman" w:cs="Times New Roman"/>
          <w:color w:val="222222"/>
          <w:kern w:val="0"/>
          <w:lang w:eastAsia="fr-FR"/>
          <w14:ligatures w14:val="none"/>
        </w:rPr>
      </w:pPr>
      <w:r w:rsidRPr="00352CC5">
        <w:rPr>
          <w:rFonts w:ascii="Times New Roman" w:eastAsia="Times New Roman" w:hAnsi="Times New Roman" w:cs="Times New Roman"/>
          <w:color w:val="222222"/>
          <w:kern w:val="0"/>
          <w:lang w:eastAsia="fr-FR"/>
          <w14:ligatures w14:val="none"/>
        </w:rPr>
        <w:t>La représentation de la sexualité trouve sa place dans la littérature, dès ses origines. À elle seule, cette représentation ne suffit pas toujours pour considérer un texte comme « érotique », ni de la condamner comme « pornographique » ou « obscène », ni de la classer dans la catégorie de la littérature excitante. L’analyse des œuvres de cette dernière, en appliquant les critères définis par Johan Huizinga, Roger Callois ou plus généralement par la ludologie, permet de constater que la plupart des actes sexuels décrits peuvent tout à fait être considérés comme des jeux. Cette communication étudiera certains classiques de la littérature excitante jusqu’à des romans ultra-contemporains pour révéler et mettre en valeur leur dimension ludique.</w:t>
      </w:r>
    </w:p>
    <w:p w:rsidR="00CD4B6B" w:rsidRPr="00352CC5" w:rsidRDefault="00CD4B6B">
      <w:pPr>
        <w:rPr>
          <w:rFonts w:ascii="Times New Roman" w:hAnsi="Times New Roman" w:cs="Times New Roman"/>
        </w:rPr>
      </w:pPr>
    </w:p>
    <w:p w:rsidR="00814771" w:rsidRPr="00352CC5" w:rsidRDefault="00814771" w:rsidP="00814771">
      <w:pPr>
        <w:spacing w:before="100" w:beforeAutospacing="1" w:after="100" w:afterAutospacing="1"/>
        <w:jc w:val="both"/>
        <w:rPr>
          <w:rFonts w:ascii="Times New Roman" w:hAnsi="Times New Roman" w:cs="Times New Roman"/>
          <w:color w:val="000000"/>
          <w:lang w:eastAsia="fr-FR"/>
        </w:rPr>
      </w:pPr>
      <w:r w:rsidRPr="00352CC5">
        <w:rPr>
          <w:rFonts w:ascii="Times New Roman" w:hAnsi="Times New Roman" w:cs="Times New Roman"/>
          <w:color w:val="000000"/>
          <w:lang w:eastAsia="fr-FR"/>
        </w:rPr>
        <w:t>Caroline Fischer, professeure de Littérature générale et comparée à l’Université de Pau et des Pays de l’Adour.</w:t>
      </w:r>
    </w:p>
    <w:p w:rsidR="00814771" w:rsidRPr="00352CC5" w:rsidRDefault="00814771" w:rsidP="00814771">
      <w:pPr>
        <w:spacing w:before="100" w:beforeAutospacing="1" w:after="100" w:afterAutospacing="1"/>
        <w:jc w:val="both"/>
        <w:rPr>
          <w:rFonts w:ascii="Times New Roman" w:hAnsi="Times New Roman" w:cs="Times New Roman"/>
          <w:color w:val="000000"/>
          <w:lang w:eastAsia="fr-FR"/>
        </w:rPr>
      </w:pPr>
      <w:r w:rsidRPr="00352CC5">
        <w:rPr>
          <w:rFonts w:ascii="Times New Roman" w:hAnsi="Times New Roman" w:cs="Times New Roman"/>
          <w:color w:val="000000"/>
          <w:lang w:eastAsia="fr-FR"/>
        </w:rPr>
        <w:t>De nombreuses publications sur la littérature excitante (</w:t>
      </w:r>
      <w:r w:rsidRPr="00352CC5">
        <w:rPr>
          <w:rFonts w:ascii="Times New Roman" w:hAnsi="Times New Roman" w:cs="Times New Roman"/>
          <w:i/>
          <w:iCs/>
          <w:color w:val="000000"/>
          <w:lang w:eastAsia="fr-FR"/>
        </w:rPr>
        <w:t>Gärten der Lust</w:t>
      </w:r>
      <w:r w:rsidRPr="00352CC5">
        <w:rPr>
          <w:rFonts w:ascii="Times New Roman" w:hAnsi="Times New Roman" w:cs="Times New Roman"/>
          <w:color w:val="000000"/>
          <w:lang w:eastAsia="fr-FR"/>
        </w:rPr>
        <w:t>, Metzler 1997 ; DTV, 2000) ; auteure de </w:t>
      </w:r>
      <w:r w:rsidRPr="00352CC5">
        <w:rPr>
          <w:rFonts w:ascii="Times New Roman" w:hAnsi="Times New Roman" w:cs="Times New Roman"/>
          <w:i/>
          <w:iCs/>
          <w:color w:val="000000"/>
          <w:lang w:eastAsia="fr-FR"/>
        </w:rPr>
        <w:t>Der poetische Pakt. Rolle und Funktion des poetischen Ich in der Liebeslyrik (Ovid, Petrarca, Ronsard, Shakespeare, Baudelaire)</w:t>
      </w:r>
      <w:r w:rsidRPr="00352CC5">
        <w:rPr>
          <w:rFonts w:ascii="Times New Roman" w:hAnsi="Times New Roman" w:cs="Times New Roman"/>
          <w:color w:val="000000"/>
          <w:lang w:eastAsia="fr-FR"/>
        </w:rPr>
        <w:t>, Winter 2005, et éditrice de la première traduction allemande des </w:t>
      </w:r>
      <w:r w:rsidRPr="00352CC5">
        <w:rPr>
          <w:rFonts w:ascii="Times New Roman" w:hAnsi="Times New Roman" w:cs="Times New Roman"/>
          <w:i/>
          <w:iCs/>
          <w:color w:val="000000"/>
          <w:lang w:eastAsia="fr-FR"/>
        </w:rPr>
        <w:t>Amours </w:t>
      </w:r>
      <w:r w:rsidRPr="00352CC5">
        <w:rPr>
          <w:rFonts w:ascii="Times New Roman" w:hAnsi="Times New Roman" w:cs="Times New Roman"/>
          <w:color w:val="000000"/>
          <w:lang w:eastAsia="fr-FR"/>
        </w:rPr>
        <w:t>et des </w:t>
      </w:r>
      <w:r w:rsidRPr="00352CC5">
        <w:rPr>
          <w:rFonts w:ascii="Times New Roman" w:hAnsi="Times New Roman" w:cs="Times New Roman"/>
          <w:i/>
          <w:iCs/>
          <w:color w:val="000000"/>
          <w:lang w:eastAsia="fr-FR"/>
        </w:rPr>
        <w:t>Sonnets pour Hélène</w:t>
      </w:r>
      <w:r w:rsidRPr="00352CC5">
        <w:rPr>
          <w:rFonts w:ascii="Times New Roman" w:hAnsi="Times New Roman" w:cs="Times New Roman"/>
          <w:color w:val="000000"/>
          <w:lang w:eastAsia="fr-FR"/>
        </w:rPr>
        <w:t> de Ronsard (Elfenbein Verlag 2006 /2010 /2017) ; codirection de plusieurs ouvrages dont </w:t>
      </w:r>
      <w:r w:rsidRPr="00352CC5">
        <w:rPr>
          <w:rFonts w:ascii="Times New Roman" w:hAnsi="Times New Roman" w:cs="Times New Roman"/>
          <w:i/>
          <w:iCs/>
          <w:color w:val="000000"/>
          <w:lang w:eastAsia="fr-FR"/>
        </w:rPr>
        <w:t>Intermédialités </w:t>
      </w:r>
      <w:r w:rsidRPr="00352CC5">
        <w:rPr>
          <w:rFonts w:ascii="Times New Roman" w:hAnsi="Times New Roman" w:cs="Times New Roman"/>
          <w:color w:val="000000"/>
          <w:lang w:eastAsia="fr-FR"/>
        </w:rPr>
        <w:t>(Lucie éd. 2015) ; </w:t>
      </w:r>
      <w:r w:rsidRPr="00352CC5">
        <w:rPr>
          <w:rFonts w:ascii="Times New Roman" w:hAnsi="Times New Roman" w:cs="Times New Roman"/>
          <w:i/>
          <w:iCs/>
          <w:color w:val="000000"/>
          <w:lang w:eastAsia="fr-FR"/>
        </w:rPr>
        <w:t>Un siècle sans poésie ? Le lyrisme des Lumières entre sociabilité, galanterie et savoir</w:t>
      </w:r>
      <w:r w:rsidRPr="00352CC5">
        <w:rPr>
          <w:rFonts w:ascii="Times New Roman" w:hAnsi="Times New Roman" w:cs="Times New Roman"/>
          <w:color w:val="000000"/>
          <w:lang w:eastAsia="fr-FR"/>
        </w:rPr>
        <w:t> (Champion 2016) ; </w:t>
      </w:r>
      <w:r w:rsidRPr="00352CC5">
        <w:rPr>
          <w:rFonts w:ascii="Times New Roman" w:hAnsi="Times New Roman" w:cs="Times New Roman"/>
          <w:i/>
          <w:iCs/>
          <w:color w:val="000000"/>
          <w:lang w:eastAsia="fr-FR"/>
        </w:rPr>
        <w:t>Konzepte der Rezeption</w:t>
      </w:r>
      <w:r w:rsidRPr="00352CC5">
        <w:rPr>
          <w:rFonts w:ascii="Times New Roman" w:hAnsi="Times New Roman" w:cs="Times New Roman"/>
          <w:color w:val="000000"/>
          <w:lang w:eastAsia="fr-FR"/>
        </w:rPr>
        <w:t>, 3 vol.  1. </w:t>
      </w:r>
      <w:r w:rsidRPr="00352CC5">
        <w:rPr>
          <w:rFonts w:ascii="Times New Roman" w:hAnsi="Times New Roman" w:cs="Times New Roman"/>
          <w:i/>
          <w:iCs/>
          <w:color w:val="000000"/>
          <w:lang w:eastAsia="fr-FR"/>
        </w:rPr>
        <w:t>Réception productive : imitatio, intertextualité, intermédialité.</w:t>
      </w:r>
      <w:r w:rsidRPr="00352CC5">
        <w:rPr>
          <w:rFonts w:ascii="Times New Roman" w:hAnsi="Times New Roman" w:cs="Times New Roman"/>
          <w:color w:val="000000"/>
          <w:lang w:eastAsia="fr-FR"/>
        </w:rPr>
        <w:t> 2. </w:t>
      </w:r>
      <w:r w:rsidRPr="00352CC5">
        <w:rPr>
          <w:rFonts w:ascii="Times New Roman" w:hAnsi="Times New Roman" w:cs="Times New Roman"/>
          <w:i/>
          <w:iCs/>
          <w:color w:val="000000"/>
          <w:lang w:eastAsia="fr-FR"/>
        </w:rPr>
        <w:t>Esthétique de la réception</w:t>
      </w:r>
      <w:r w:rsidRPr="00352CC5">
        <w:rPr>
          <w:rFonts w:ascii="Times New Roman" w:hAnsi="Times New Roman" w:cs="Times New Roman"/>
          <w:color w:val="000000"/>
          <w:lang w:eastAsia="fr-FR"/>
        </w:rPr>
        <w:t>. 3. </w:t>
      </w:r>
      <w:r w:rsidRPr="00352CC5">
        <w:rPr>
          <w:rFonts w:ascii="Times New Roman" w:hAnsi="Times New Roman" w:cs="Times New Roman"/>
          <w:i/>
          <w:iCs/>
          <w:color w:val="000000"/>
          <w:lang w:eastAsia="fr-FR"/>
        </w:rPr>
        <w:t>Réception et transferts culturels</w:t>
      </w:r>
      <w:r w:rsidRPr="00352CC5">
        <w:rPr>
          <w:rFonts w:ascii="Times New Roman" w:hAnsi="Times New Roman" w:cs="Times New Roman"/>
          <w:color w:val="000000"/>
          <w:lang w:eastAsia="fr-FR"/>
        </w:rPr>
        <w:t>, Stauffenburg, 2015, 2018, 2021.</w:t>
      </w:r>
    </w:p>
    <w:bookmarkEnd w:id="0"/>
    <w:p w:rsidR="00814771" w:rsidRPr="00814771" w:rsidRDefault="00814771" w:rsidP="00814771">
      <w:pPr>
        <w:jc w:val="both"/>
        <w:rPr>
          <w:rFonts w:ascii="Times New Roman" w:hAnsi="Times New Roman" w:cs="Times New Roman"/>
        </w:rPr>
      </w:pPr>
    </w:p>
    <w:p w:rsidR="00814771" w:rsidRPr="00814771" w:rsidRDefault="00814771">
      <w:pPr>
        <w:rPr>
          <w:rFonts w:ascii="Times New Roman" w:hAnsi="Times New Roman" w:cs="Times New Roman"/>
        </w:rPr>
      </w:pPr>
    </w:p>
    <w:sectPr w:rsidR="00814771" w:rsidRPr="0081477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6316"/>
    <w:rsid w:val="001019B9"/>
    <w:rsid w:val="00352CC5"/>
    <w:rsid w:val="003C54A0"/>
    <w:rsid w:val="003F48EA"/>
    <w:rsid w:val="00455FC3"/>
    <w:rsid w:val="006B4AC0"/>
    <w:rsid w:val="00706316"/>
    <w:rsid w:val="00814771"/>
    <w:rsid w:val="00CD4B6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F6B8C1"/>
  <w15:chartTrackingRefBased/>
  <w15:docId w15:val="{092B4F33-EC6C-2B40-AA40-271A2F97F1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4"/>
        <w:szCs w:val="24"/>
        <w:lang w:val="fr-FR" w:eastAsia="en-US" w:bidi="ar-SA"/>
        <w14:ligatures w14:val="standardContextual"/>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159062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257</Words>
  <Characters>1415</Characters>
  <Application>Microsoft Office Word</Application>
  <DocSecurity>0</DocSecurity>
  <Lines>11</Lines>
  <Paragraphs>3</Paragraphs>
  <ScaleCrop>false</ScaleCrop>
  <Company/>
  <LinksUpToDate>false</LinksUpToDate>
  <CharactersWithSpaces>1669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Bernard Franco</dc:creator>
  <cp:keywords/>
  <dc:description/>
  <cp:lastModifiedBy>MALVA</cp:lastModifiedBy>
  <cp:revision>3</cp:revision>
  <dcterms:created xsi:type="dcterms:W3CDTF">2024-08-12T08:59:00Z</dcterms:created>
  <dcterms:modified xsi:type="dcterms:W3CDTF">2024-08-12T09:54:00Z</dcterms:modified>
</cp:coreProperties>
</file>